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Notes on Logic</w:t>
      </w:r>
    </w:p>
    <w:p>
      <w:pPr>
        <w:pStyle w:val="Subtitle"/>
      </w:pPr>
      <w:r>
        <w:t xml:space="preserve">Basics</w:t>
      </w:r>
    </w:p>
    <w:p>
      <w:pPr>
        <w:pStyle w:val="Author"/>
      </w:pPr>
      <w:r>
        <w:t xml:space="preserve">Christopher L. Holland</w:t>
      </w:r>
    </w:p>
    <w:p>
      <w:pPr>
        <w:pStyle w:val="Date"/>
      </w:pPr>
      <w:r>
        <w:t xml:space="preserve">January 22, 2025</w:t>
      </w:r>
    </w:p>
    <w:bookmarkStart w:id="20" w:name="what-is-logic"/>
    <w:p>
      <w:pPr>
        <w:pStyle w:val="Heading2"/>
      </w:pPr>
      <w:r>
        <w:t xml:space="preserve">1 What Is Logic?</w:t>
      </w:r>
    </w:p>
    <w:p>
      <w:pPr>
        <w:pStyle w:val="Compact"/>
        <w:numPr>
          <w:ilvl w:val="0"/>
          <w:numId w:val="1001"/>
        </w:numPr>
      </w:pPr>
      <w:r>
        <w:t xml:space="preserve">The study of methods for evaluating arguments</w:t>
      </w:r>
    </w:p>
    <w:p>
      <w:pPr>
        <w:pStyle w:val="Compact"/>
        <w:numPr>
          <w:ilvl w:val="0"/>
          <w:numId w:val="1001"/>
        </w:numPr>
      </w:pPr>
      <w:r>
        <w:t xml:space="preserve">Statements and Propositions</w:t>
      </w:r>
    </w:p>
    <w:p>
      <w:pPr>
        <w:pStyle w:val="Compact"/>
        <w:numPr>
          <w:ilvl w:val="1"/>
          <w:numId w:val="1002"/>
        </w:numPr>
      </w:pPr>
      <w:r>
        <w:t xml:space="preserve">Statement: A sentence that expresses a proposition</w:t>
      </w:r>
    </w:p>
    <w:p>
      <w:pPr>
        <w:pStyle w:val="Compact"/>
        <w:numPr>
          <w:ilvl w:val="1"/>
          <w:numId w:val="1002"/>
        </w:numPr>
      </w:pPr>
      <w:r>
        <w:t xml:space="preserve">Proposition: The content or meaning of a (fully interpreted) statement</w:t>
      </w:r>
    </w:p>
    <w:p>
      <w:pPr>
        <w:pStyle w:val="Compact"/>
        <w:numPr>
          <w:ilvl w:val="2"/>
          <w:numId w:val="1003"/>
        </w:numPr>
      </w:pPr>
      <w:r>
        <w:t xml:space="preserve">Two or more statements may express the same proposition.</w:t>
      </w:r>
    </w:p>
    <w:p>
      <w:pPr>
        <w:pStyle w:val="Compact"/>
        <w:numPr>
          <w:ilvl w:val="3"/>
          <w:numId w:val="1004"/>
        </w:numPr>
      </w:pPr>
      <w:r>
        <w:t xml:space="preserve">Both</w:t>
      </w:r>
      <w:r>
        <w:t xml:space="preserve"> </w:t>
      </w:r>
      <w:r>
        <w:t xml:space="preserve">“the moon orbits the earth”</w:t>
      </w:r>
      <w:r>
        <w:t xml:space="preserve"> </w:t>
      </w:r>
      <w:r>
        <w:t xml:space="preserve">and</w:t>
      </w:r>
      <w:r>
        <w:t xml:space="preserve"> </w:t>
      </w:r>
      <w:r>
        <w:t xml:space="preserve">“the earth is orbited by the moon”</w:t>
      </w:r>
      <w:r>
        <w:t xml:space="preserve"> </w:t>
      </w:r>
      <w:r>
        <w:t xml:space="preserve">express the same proposition.</w:t>
      </w:r>
    </w:p>
    <w:p>
      <w:pPr>
        <w:pStyle w:val="Compact"/>
        <w:numPr>
          <w:ilvl w:val="3"/>
          <w:numId w:val="1004"/>
        </w:numPr>
      </w:pPr>
      <w:r>
        <w:t xml:space="preserve">Both</w:t>
      </w:r>
      <w:r>
        <w:t xml:space="preserve"> </w:t>
      </w:r>
      <w:r>
        <w:t xml:space="preserve">“Jesus is Lord”</w:t>
      </w:r>
      <w:r>
        <w:t xml:space="preserve"> </w:t>
      </w:r>
      <w:r>
        <w:t xml:space="preserve">and</w:t>
      </w:r>
      <w:r>
        <w:t xml:space="preserve"> </w:t>
      </w:r>
      <w:r>
        <w:t xml:space="preserve">“Kyrios Iēsous”</w:t>
      </w:r>
      <w:r>
        <w:t xml:space="preserve"> </w:t>
      </w:r>
      <w:r>
        <w:t xml:space="preserve">express the same proposition, that Jesus is Lord</w:t>
      </w:r>
    </w:p>
    <w:p>
      <w:pPr>
        <w:pStyle w:val="Compact"/>
        <w:numPr>
          <w:ilvl w:val="2"/>
          <w:numId w:val="1003"/>
        </w:numPr>
      </w:pPr>
      <w:r>
        <w:t xml:space="preserve">A single statement may have more than one meaning.</w:t>
      </w:r>
    </w:p>
    <w:p>
      <w:pPr>
        <w:pStyle w:val="Compact"/>
        <w:numPr>
          <w:ilvl w:val="3"/>
          <w:numId w:val="1005"/>
        </w:numPr>
      </w:pPr>
      <w:r>
        <w:t xml:space="preserve">“I shot an elephant in my pajamas”</w:t>
      </w:r>
      <w:r>
        <w:t xml:space="preserve"> </w:t>
      </w:r>
      <w:r>
        <w:t xml:space="preserve">(Groucho Marx in</w:t>
      </w:r>
      <w:r>
        <w:t xml:space="preserve"> </w:t>
      </w:r>
      <w:r>
        <w:rPr>
          <w:i/>
          <w:iCs/>
        </w:rPr>
        <w:t xml:space="preserve">Animal Crackers</w:t>
      </w:r>
      <w:r>
        <w:t xml:space="preserve">).</w:t>
      </w:r>
    </w:p>
    <w:p>
      <w:pPr>
        <w:pStyle w:val="Compact"/>
        <w:numPr>
          <w:ilvl w:val="1"/>
          <w:numId w:val="1002"/>
        </w:numPr>
      </w:pPr>
      <w:r>
        <w:t xml:space="preserve">Most of the time, I will use the two terms (statement and proposition) interchangeably.</w:t>
      </w:r>
    </w:p>
    <w:p>
      <w:pPr>
        <w:pStyle w:val="Compact"/>
        <w:numPr>
          <w:ilvl w:val="0"/>
          <w:numId w:val="1001"/>
        </w:numPr>
      </w:pPr>
      <w:r>
        <w:t xml:space="preserve">Truth value</w:t>
      </w:r>
    </w:p>
    <w:p>
      <w:pPr>
        <w:pStyle w:val="Compact"/>
        <w:numPr>
          <w:ilvl w:val="1"/>
          <w:numId w:val="1006"/>
        </w:numPr>
      </w:pPr>
      <w:r>
        <w:t xml:space="preserve">The property of a proposition being either true or false</w:t>
      </w:r>
    </w:p>
    <w:p>
      <w:pPr>
        <w:pStyle w:val="Compact"/>
        <w:numPr>
          <w:ilvl w:val="1"/>
          <w:numId w:val="1006"/>
        </w:numPr>
      </w:pPr>
      <w:r>
        <w:t xml:space="preserve">Statements express propositions</w:t>
      </w:r>
    </w:p>
    <w:p>
      <w:pPr>
        <w:pStyle w:val="Compact"/>
        <w:numPr>
          <w:ilvl w:val="1"/>
          <w:numId w:val="1006"/>
        </w:numPr>
      </w:pPr>
      <w:r>
        <w:t xml:space="preserve">Questions, proposals, suggestions, commands, and exclamations do not express propositions.</w:t>
      </w:r>
    </w:p>
    <w:p>
      <w:pPr>
        <w:pStyle w:val="Compact"/>
        <w:numPr>
          <w:ilvl w:val="1"/>
          <w:numId w:val="1006"/>
        </w:numPr>
      </w:pPr>
      <w:r>
        <w:t xml:space="preserve">Which of the following are statements?</w:t>
      </w:r>
    </w:p>
    <w:p>
      <w:pPr>
        <w:pStyle w:val="Compact"/>
        <w:numPr>
          <w:ilvl w:val="2"/>
          <w:numId w:val="1007"/>
        </w:numPr>
      </w:pPr>
      <w:r>
        <w:t xml:space="preserve">Today is Tuesday.</w:t>
      </w:r>
    </w:p>
    <w:p>
      <w:pPr>
        <w:pStyle w:val="Compact"/>
        <w:numPr>
          <w:ilvl w:val="2"/>
          <w:numId w:val="1007"/>
        </w:numPr>
      </w:pPr>
      <w:r>
        <w:t xml:space="preserve">What day of the week is it?</w:t>
      </w:r>
    </w:p>
    <w:p>
      <w:pPr>
        <w:pStyle w:val="Compact"/>
        <w:numPr>
          <w:ilvl w:val="2"/>
          <w:numId w:val="1007"/>
        </w:numPr>
      </w:pPr>
      <w:r>
        <w:t xml:space="preserve">Please walk the dog.</w:t>
      </w:r>
    </w:p>
    <w:p>
      <w:pPr>
        <w:pStyle w:val="Compact"/>
        <w:numPr>
          <w:ilvl w:val="2"/>
          <w:numId w:val="1007"/>
        </w:numPr>
      </w:pPr>
      <w:r>
        <w:t xml:space="preserve">If it is raining.</w:t>
      </w:r>
    </w:p>
    <w:p>
      <w:pPr>
        <w:pStyle w:val="Compact"/>
        <w:numPr>
          <w:ilvl w:val="2"/>
          <w:numId w:val="1007"/>
        </w:numPr>
      </w:pPr>
      <w:r>
        <w:t xml:space="preserve">Mom said</w:t>
      </w:r>
      <w:r>
        <w:t xml:space="preserve"> </w:t>
      </w:r>
      <w:r>
        <w:t xml:space="preserve">“If it is raining.”</w:t>
      </w:r>
    </w:p>
    <w:p>
      <w:pPr>
        <w:pStyle w:val="Compact"/>
        <w:numPr>
          <w:ilvl w:val="2"/>
          <w:numId w:val="1007"/>
        </w:numPr>
      </w:pPr>
      <w:r>
        <w:t xml:space="preserve">Keep out!</w:t>
      </w:r>
    </w:p>
    <w:p>
      <w:pPr>
        <w:pStyle w:val="Compact"/>
        <w:numPr>
          <w:ilvl w:val="2"/>
          <w:numId w:val="1007"/>
        </w:numPr>
      </w:pPr>
      <w:r>
        <w:t xml:space="preserve">Wet cement.</w:t>
      </w:r>
    </w:p>
    <w:p>
      <w:pPr>
        <w:pStyle w:val="Compact"/>
        <w:numPr>
          <w:ilvl w:val="2"/>
          <w:numId w:val="1007"/>
        </w:numPr>
      </w:pPr>
      <w:r>
        <w:t xml:space="preserve">Ouch!</w:t>
      </w:r>
    </w:p>
    <w:p>
      <w:pPr>
        <w:pStyle w:val="Compact"/>
        <w:numPr>
          <w:ilvl w:val="2"/>
          <w:numId w:val="1007"/>
        </w:numPr>
      </w:pPr>
      <w:r>
        <w:t xml:space="preserve">Murder is illegal.</w:t>
      </w:r>
    </w:p>
    <w:p>
      <w:pPr>
        <w:pStyle w:val="Compact"/>
        <w:numPr>
          <w:ilvl w:val="2"/>
          <w:numId w:val="1007"/>
        </w:numPr>
      </w:pPr>
      <w:r>
        <w:t xml:space="preserve">Murder is wrong.</w:t>
      </w:r>
    </w:p>
    <w:p>
      <w:pPr>
        <w:pStyle w:val="Compact"/>
        <w:numPr>
          <w:ilvl w:val="2"/>
          <w:numId w:val="1007"/>
        </w:numPr>
      </w:pPr>
      <w:r>
        <w:t xml:space="preserve">Yuck!</w:t>
      </w:r>
    </w:p>
    <w:p>
      <w:pPr>
        <w:pStyle w:val="Compact"/>
        <w:numPr>
          <w:ilvl w:val="0"/>
          <w:numId w:val="1001"/>
        </w:numPr>
      </w:pPr>
      <w:r>
        <w:t xml:space="preserve">Three fundamental laws of logic</w:t>
      </w:r>
    </w:p>
    <w:p>
      <w:pPr>
        <w:pStyle w:val="Compact"/>
        <w:numPr>
          <w:ilvl w:val="1"/>
          <w:numId w:val="1008"/>
        </w:numPr>
      </w:pPr>
      <w:r>
        <w:t xml:space="preserve">The law of identity: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p</m:t>
        </m:r>
      </m:oMath>
    </w:p>
    <w:p>
      <w:pPr>
        <w:pStyle w:val="Compact"/>
        <w:numPr>
          <w:ilvl w:val="1"/>
          <w:numId w:val="1008"/>
        </w:numPr>
      </w:pPr>
      <w:r>
        <w:t xml:space="preserve">The law of noncontradiction: it is impossible that both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not-</w:t>
      </w:r>
      <m:oMath>
        <m:r>
          <m:t>p</m:t>
        </m:r>
      </m:oMath>
      <w:r>
        <w:t xml:space="preserve"> </w:t>
      </w:r>
      <w:r>
        <w:t xml:space="preserve">are true</w:t>
      </w:r>
    </w:p>
    <w:p>
      <w:pPr>
        <w:pStyle w:val="Compact"/>
        <w:numPr>
          <w:ilvl w:val="1"/>
          <w:numId w:val="1008"/>
        </w:numPr>
      </w:pPr>
      <w:r>
        <w:t xml:space="preserve">The law of excluded middle: either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true or not-</w:t>
      </w:r>
      <m:oMath>
        <m:r>
          <m:t>p</m:t>
        </m:r>
      </m:oMath>
      <w:r>
        <w:t xml:space="preserve"> </w:t>
      </w:r>
      <w:r>
        <w:t xml:space="preserve">is true</w:t>
      </w:r>
    </w:p>
    <w:bookmarkEnd w:id="20"/>
    <w:bookmarkStart w:id="23" w:name="what-is-an-argument"/>
    <w:p>
      <w:pPr>
        <w:pStyle w:val="Heading2"/>
      </w:pPr>
      <w:r>
        <w:t xml:space="preserve">2 What Is an Argument?</w:t>
      </w:r>
    </w:p>
    <w:bookmarkStart w:id="21" w:name="arguments"/>
    <w:p>
      <w:pPr>
        <w:pStyle w:val="Heading3"/>
      </w:pPr>
      <w:r>
        <w:t xml:space="preserve">2.1 Arguments</w:t>
      </w:r>
    </w:p>
    <w:p>
      <w:pPr>
        <w:pStyle w:val="Compact"/>
        <w:numPr>
          <w:ilvl w:val="0"/>
          <w:numId w:val="1009"/>
        </w:numPr>
      </w:pPr>
      <w:r>
        <w:t xml:space="preserve">A set of statements where some of the statements, the premises, are used to support another statement, the conclusion.</w:t>
      </w:r>
    </w:p>
    <w:p>
      <w:pPr>
        <w:pStyle w:val="Compact"/>
        <w:numPr>
          <w:ilvl w:val="0"/>
          <w:numId w:val="1009"/>
        </w:numPr>
      </w:pPr>
      <w:r>
        <w:t xml:space="preserve">Premise</w:t>
      </w:r>
    </w:p>
    <w:p>
      <w:pPr>
        <w:pStyle w:val="Compact"/>
        <w:numPr>
          <w:ilvl w:val="1"/>
          <w:numId w:val="1010"/>
        </w:numPr>
      </w:pPr>
      <w:r>
        <w:t xml:space="preserve">a statement intended to support the conclusion</w:t>
      </w:r>
    </w:p>
    <w:p>
      <w:pPr>
        <w:pStyle w:val="Compact"/>
        <w:numPr>
          <w:ilvl w:val="0"/>
          <w:numId w:val="1009"/>
        </w:numPr>
      </w:pPr>
      <w:r>
        <w:t xml:space="preserve">Conclusion</w:t>
      </w:r>
    </w:p>
    <w:p>
      <w:pPr>
        <w:pStyle w:val="Compact"/>
        <w:numPr>
          <w:ilvl w:val="1"/>
          <w:numId w:val="1011"/>
        </w:numPr>
      </w:pPr>
      <w:r>
        <w:t xml:space="preserve">statement supported by the premise(s)</w:t>
      </w:r>
    </w:p>
    <w:p>
      <w:pPr>
        <w:pStyle w:val="Compact"/>
        <w:numPr>
          <w:ilvl w:val="0"/>
          <w:numId w:val="1009"/>
        </w:numPr>
      </w:pPr>
      <w:r>
        <w:t xml:space="preserve">Indicator words</w:t>
      </w:r>
    </w:p>
    <w:p>
      <w:pPr>
        <w:pStyle w:val="Compact"/>
        <w:numPr>
          <w:ilvl w:val="1"/>
          <w:numId w:val="1012"/>
        </w:numPr>
      </w:pPr>
      <w:r>
        <w:t xml:space="preserve">Conclusion</w:t>
      </w:r>
    </w:p>
    <w:p>
      <w:pPr>
        <w:pStyle w:val="Compact"/>
        <w:numPr>
          <w:ilvl w:val="2"/>
          <w:numId w:val="1013"/>
        </w:numPr>
      </w:pPr>
      <w:r>
        <w:t xml:space="preserve">consequently, thus, therefore, it follows that, as a result, hence, so, which means that</w:t>
      </w:r>
    </w:p>
    <w:p>
      <w:pPr>
        <w:pStyle w:val="Compact"/>
        <w:numPr>
          <w:ilvl w:val="1"/>
          <w:numId w:val="1012"/>
        </w:numPr>
      </w:pPr>
      <w:r>
        <w:t xml:space="preserve">Premise</w:t>
      </w:r>
    </w:p>
    <w:p>
      <w:pPr>
        <w:pStyle w:val="Compact"/>
        <w:numPr>
          <w:ilvl w:val="2"/>
          <w:numId w:val="1014"/>
        </w:numPr>
      </w:pPr>
      <w:r>
        <w:t xml:space="preserve">in view of the fact, because, assuming that, since, due to the fact that, inasmuch as, for</w:t>
      </w:r>
    </w:p>
    <w:bookmarkEnd w:id="21"/>
    <w:bookmarkStart w:id="22" w:name="non-arguments"/>
    <w:p>
      <w:pPr>
        <w:pStyle w:val="Heading3"/>
      </w:pPr>
      <w:r>
        <w:t xml:space="preserve">2.2 Non-Arguments</w:t>
      </w:r>
    </w:p>
    <w:p>
      <w:pPr>
        <w:pStyle w:val="Compact"/>
        <w:numPr>
          <w:ilvl w:val="0"/>
          <w:numId w:val="1015"/>
        </w:numPr>
      </w:pPr>
      <w:r>
        <w:t xml:space="preserve">Reports</w:t>
      </w:r>
    </w:p>
    <w:p>
      <w:pPr>
        <w:pStyle w:val="Compact"/>
        <w:numPr>
          <w:ilvl w:val="0"/>
          <w:numId w:val="1015"/>
        </w:numPr>
      </w:pPr>
      <w:r>
        <w:t xml:space="preserve">Opinions</w:t>
      </w:r>
    </w:p>
    <w:p>
      <w:pPr>
        <w:pStyle w:val="Compact"/>
        <w:numPr>
          <w:ilvl w:val="0"/>
          <w:numId w:val="1015"/>
        </w:numPr>
      </w:pPr>
      <w:r>
        <w:t xml:space="preserve">Illustrations</w:t>
      </w:r>
    </w:p>
    <w:p>
      <w:pPr>
        <w:pStyle w:val="Compact"/>
        <w:numPr>
          <w:ilvl w:val="0"/>
          <w:numId w:val="1015"/>
        </w:numPr>
      </w:pPr>
      <w:r>
        <w:t xml:space="preserve">Explanations</w:t>
      </w:r>
    </w:p>
    <w:p>
      <w:pPr>
        <w:pStyle w:val="Compact"/>
        <w:numPr>
          <w:ilvl w:val="1"/>
          <w:numId w:val="1016"/>
        </w:numPr>
      </w:pPr>
      <w:r>
        <w:t xml:space="preserve">The sky appears blue from the earth’s surface because light rays from the sun are scattered by particles in the atmosphere.</w:t>
      </w:r>
    </w:p>
    <w:p>
      <w:pPr>
        <w:pStyle w:val="Compact"/>
        <w:numPr>
          <w:ilvl w:val="1"/>
          <w:numId w:val="1016"/>
        </w:numPr>
      </w:pPr>
      <w:r>
        <w:t xml:space="preserve">Explanans / Explicans</w:t>
      </w:r>
    </w:p>
    <w:p>
      <w:pPr>
        <w:pStyle w:val="Compact"/>
        <w:numPr>
          <w:ilvl w:val="2"/>
          <w:numId w:val="1017"/>
        </w:numPr>
      </w:pPr>
      <w:r>
        <w:t xml:space="preserve">light rays from the sun are scattered by particles in the atmosphere.</w:t>
      </w:r>
    </w:p>
    <w:p>
      <w:pPr>
        <w:pStyle w:val="Compact"/>
        <w:numPr>
          <w:ilvl w:val="1"/>
          <w:numId w:val="1016"/>
        </w:numPr>
      </w:pPr>
      <w:r>
        <w:t xml:space="preserve">Explanandum / Explicandum</w:t>
      </w:r>
    </w:p>
    <w:p>
      <w:pPr>
        <w:pStyle w:val="Compact"/>
        <w:numPr>
          <w:ilvl w:val="2"/>
          <w:numId w:val="1018"/>
        </w:numPr>
      </w:pPr>
      <w:r>
        <w:t xml:space="preserve">The sky appears blue from the earth’s surface</w:t>
      </w:r>
    </w:p>
    <w:p>
      <w:pPr>
        <w:pStyle w:val="Compact"/>
        <w:numPr>
          <w:ilvl w:val="0"/>
          <w:numId w:val="1015"/>
        </w:numPr>
      </w:pPr>
      <w:r>
        <w:t xml:space="preserve">Conditionals</w:t>
      </w:r>
    </w:p>
    <w:p>
      <w:pPr>
        <w:pStyle w:val="Compact"/>
        <w:numPr>
          <w:ilvl w:val="1"/>
          <w:numId w:val="1019"/>
        </w:numPr>
      </w:pPr>
      <w:r>
        <w:t xml:space="preserve">If-then statements. The</w:t>
      </w:r>
      <w:r>
        <w:t xml:space="preserve"> </w:t>
      </w:r>
      <w:r>
        <w:rPr>
          <w:i/>
          <w:iCs/>
        </w:rPr>
        <w:t xml:space="preserve">if</w:t>
      </w:r>
      <w:r>
        <w:t xml:space="preserve"> </w:t>
      </w:r>
      <w:r>
        <w:t xml:space="preserve">part is called the antecedent. The</w:t>
      </w:r>
      <w:r>
        <w:t xml:space="preserve"> </w:t>
      </w:r>
      <w:r>
        <w:rPr>
          <w:i/>
          <w:iCs/>
        </w:rPr>
        <w:t xml:space="preserve">then</w:t>
      </w:r>
      <w:r>
        <w:t xml:space="preserve"> </w:t>
      </w:r>
      <w:r>
        <w:t xml:space="preserve">part is called the consequent.</w:t>
      </w:r>
    </w:p>
    <w:p>
      <w:pPr>
        <w:pStyle w:val="Compact"/>
        <w:numPr>
          <w:ilvl w:val="2"/>
          <w:numId w:val="1020"/>
        </w:numPr>
      </w:pPr>
      <w:r>
        <w:t xml:space="preserve">If . . . then . . .</w:t>
      </w:r>
    </w:p>
    <w:p>
      <w:pPr>
        <w:pStyle w:val="Compact"/>
        <w:numPr>
          <w:ilvl w:val="2"/>
          <w:numId w:val="1020"/>
        </w:numPr>
      </w:pPr>
      <w:r>
        <w:t xml:space="preserve">The antecedent is sufficient condition.</w:t>
      </w:r>
    </w:p>
    <w:p>
      <w:pPr>
        <w:pStyle w:val="Compact"/>
        <w:numPr>
          <w:ilvl w:val="2"/>
          <w:numId w:val="1020"/>
        </w:numPr>
      </w:pPr>
      <w:r>
        <w:t xml:space="preserve">The consequent is the necessary condition.</w:t>
      </w:r>
    </w:p>
    <w:p>
      <w:pPr>
        <w:pStyle w:val="Compact"/>
        <w:numPr>
          <w:ilvl w:val="1"/>
          <w:numId w:val="1019"/>
        </w:numPr>
      </w:pPr>
      <w:r>
        <w:t xml:space="preserve">Stylistic Variants</w:t>
      </w:r>
    </w:p>
    <w:p>
      <w:pPr>
        <w:pStyle w:val="Compact"/>
        <w:numPr>
          <w:ilvl w:val="2"/>
          <w:numId w:val="1021"/>
        </w:numPr>
      </w:pPr>
      <w:r>
        <w:rPr>
          <w:b/>
          <w:bCs/>
        </w:rPr>
        <w:t xml:space="preserve">if</w:t>
      </w:r>
      <w:r>
        <w:t xml:space="preserve"> </w:t>
      </w:r>
      <w:r>
        <w:t xml:space="preserve">it is raining,</w:t>
      </w:r>
      <w:r>
        <w:t xml:space="preserve"> </w:t>
      </w:r>
      <w:r>
        <w:rPr>
          <w:b/>
          <w:bCs/>
        </w:rPr>
        <w:t xml:space="preserve">then</w:t>
      </w:r>
      <w:r>
        <w:t xml:space="preserve"> </w:t>
      </w:r>
      <w:r>
        <w:t xml:space="preserve">the ground is wet</w:t>
      </w:r>
      <w:r>
        <w:br/>
      </w:r>
      <w:r>
        <w:t xml:space="preserve">if (antecedent), then (consequent)</w:t>
      </w:r>
    </w:p>
    <w:p>
      <w:pPr>
        <w:pStyle w:val="Compact"/>
        <w:numPr>
          <w:ilvl w:val="2"/>
          <w:numId w:val="1021"/>
        </w:numPr>
      </w:pPr>
      <w:r>
        <w:t xml:space="preserve">the ground is wet</w:t>
      </w:r>
      <w:r>
        <w:t xml:space="preserve"> </w:t>
      </w:r>
      <w:r>
        <w:rPr>
          <w:b/>
          <w:bCs/>
        </w:rPr>
        <w:t xml:space="preserve">if</w:t>
      </w:r>
      <w:r>
        <w:t xml:space="preserve"> </w:t>
      </w:r>
      <w:r>
        <w:t xml:space="preserve">it is raining</w:t>
      </w:r>
      <w:r>
        <w:br/>
      </w:r>
      <w:r>
        <w:t xml:space="preserve">(consequent) if (antecedent)</w:t>
      </w:r>
    </w:p>
    <w:p>
      <w:pPr>
        <w:pStyle w:val="Compact"/>
        <w:numPr>
          <w:ilvl w:val="2"/>
          <w:numId w:val="1021"/>
        </w:numPr>
      </w:pPr>
      <w:r>
        <w:rPr>
          <w:b/>
          <w:bCs/>
        </w:rPr>
        <w:t xml:space="preserve">given that</w:t>
      </w:r>
      <w:r>
        <w:t xml:space="preserve"> </w:t>
      </w:r>
      <w:r>
        <w:t xml:space="preserve">it is raining, the ground is wet</w:t>
      </w:r>
      <w:r>
        <w:br/>
      </w:r>
      <w:r>
        <w:t xml:space="preserve">given that (antecedent), (consequent)</w:t>
      </w:r>
    </w:p>
    <w:p>
      <w:pPr>
        <w:pStyle w:val="Compact"/>
        <w:numPr>
          <w:ilvl w:val="2"/>
          <w:numId w:val="1021"/>
        </w:numPr>
      </w:pPr>
      <w:r>
        <w:t xml:space="preserve">the ground is wet,</w:t>
      </w:r>
      <w:r>
        <w:t xml:space="preserve"> </w:t>
      </w:r>
      <w:r>
        <w:rPr>
          <w:b/>
          <w:bCs/>
        </w:rPr>
        <w:t xml:space="preserve">given that</w:t>
      </w:r>
      <w:r>
        <w:t xml:space="preserve"> </w:t>
      </w:r>
      <w:r>
        <w:t xml:space="preserve">it is raining</w:t>
      </w:r>
      <w:r>
        <w:br/>
      </w:r>
      <w:r>
        <w:t xml:space="preserve">(consequent), given that (antecedent)</w:t>
      </w:r>
    </w:p>
    <w:p>
      <w:pPr>
        <w:pStyle w:val="Compact"/>
        <w:numPr>
          <w:ilvl w:val="2"/>
          <w:numId w:val="1021"/>
        </w:numPr>
      </w:pPr>
      <w:r>
        <w:t xml:space="preserve">it is raining</w:t>
      </w:r>
      <w:r>
        <w:t xml:space="preserve"> </w:t>
      </w:r>
      <w:r>
        <w:rPr>
          <w:b/>
          <w:bCs/>
        </w:rPr>
        <w:t xml:space="preserve">only if</w:t>
      </w:r>
      <w:r>
        <w:t xml:space="preserve"> </w:t>
      </w:r>
      <w:r>
        <w:t xml:space="preserve">the ground is wet</w:t>
      </w:r>
      <w:r>
        <w:br/>
      </w:r>
      <w:r>
        <w:t xml:space="preserve">(antecedent) only if (consequent)</w:t>
      </w:r>
    </w:p>
    <w:p>
      <w:pPr>
        <w:pStyle w:val="Compact"/>
        <w:numPr>
          <w:ilvl w:val="1"/>
          <w:numId w:val="1019"/>
        </w:numPr>
      </w:pPr>
      <w:r>
        <w:t xml:space="preserve">a conditional is not an argument, but many arguments include conditionals. For example:</w:t>
      </w:r>
    </w:p>
    <w:p>
      <w:pPr>
        <w:pStyle w:val="Compact"/>
        <w:numPr>
          <w:ilvl w:val="2"/>
          <w:numId w:val="1022"/>
        </w:numPr>
      </w:pPr>
      <w:r>
        <w:t xml:space="preserve">(P1) If it is raining, then the ground is wet.</w:t>
      </w:r>
    </w:p>
    <w:p>
      <w:pPr>
        <w:pStyle w:val="Compact"/>
        <w:numPr>
          <w:ilvl w:val="2"/>
          <w:numId w:val="1022"/>
        </w:numPr>
      </w:pPr>
      <w:r>
        <w:t xml:space="preserve">(P2) The ground is not wet.</w:t>
      </w:r>
    </w:p>
    <w:p>
      <w:pPr>
        <w:pStyle w:val="Compact"/>
        <w:numPr>
          <w:ilvl w:val="2"/>
          <w:numId w:val="1022"/>
        </w:numPr>
      </w:pPr>
      <w:r>
        <w:t xml:space="preserve">(C1) So, it is not raining.</w:t>
      </w:r>
    </w:p>
    <w:bookmarkEnd w:id="22"/>
    <w:bookmarkEnd w:id="23"/>
    <w:bookmarkStart w:id="27" w:name="reference"/>
    <w:p>
      <w:pPr>
        <w:pStyle w:val="Heading2"/>
      </w:pPr>
      <w:r>
        <w:t xml:space="preserve">Reference</w:t>
      </w:r>
    </w:p>
    <w:bookmarkStart w:id="26" w:name="refs"/>
    <w:bookmarkStart w:id="24" w:name="ref-Howard-Snyder.etal.2013"/>
    <w:p>
      <w:pPr>
        <w:pStyle w:val="Bibliography"/>
      </w:pPr>
      <w:r>
        <w:t xml:space="preserve">Howard-Snyder, Frances, Daniel Howard-Snyder, and Ryan Wasserman. 2013.</w:t>
      </w:r>
      <w:r>
        <w:t xml:space="preserve"> </w:t>
      </w:r>
      <w:r>
        <w:rPr>
          <w:i/>
          <w:iCs/>
        </w:rPr>
        <w:t xml:space="preserve">The Power of Logic</w:t>
      </w:r>
      <w:r>
        <w:t xml:space="preserve">. New York: McGraw-Hill.</w:t>
      </w:r>
    </w:p>
    <w:bookmarkEnd w:id="24"/>
    <w:bookmarkStart w:id="25" w:name="ref-Pojman.2006"/>
    <w:p>
      <w:pPr>
        <w:pStyle w:val="Bibliography"/>
      </w:pPr>
      <w:r>
        <w:t xml:space="preserve">Pojman, Louis P. 2006.</w:t>
      </w:r>
      <w:r>
        <w:t xml:space="preserve"> </w:t>
      </w:r>
      <w:r>
        <w:rPr>
          <w:i/>
          <w:iCs/>
        </w:rPr>
        <w:t xml:space="preserve">Philosophy: The Pursuit of Wisdom</w:t>
      </w:r>
      <w:r>
        <w:t xml:space="preserve">. 5th ed. Belmont, CA: Wadsworth.</w:t>
      </w:r>
    </w:p>
    <w:bookmarkEnd w:id="25"/>
    <w:bookmarkEnd w:id="26"/>
    <w:bookmarkEnd w:id="2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Logic</dc:title>
  <dc:creator>Christopher L. Holland</dc:creator>
  <cp:keywords/>
  <dcterms:created xsi:type="dcterms:W3CDTF">2025-04-29T23:48:54Z</dcterms:created>
  <dcterms:modified xsi:type="dcterms:W3CDTF">2025-04-29T23:48:54Z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January 22, 2025</vt:lpwstr>
  </property>
  <property fmtid="{D5CDD505-2E9C-101B-9397-08002B2CF9AE}" pid="10" name="date-format">
    <vt:lpwstr>long</vt:lpwstr>
  </property>
  <property fmtid="{D5CDD505-2E9C-101B-9397-08002B2CF9AE}" pid="11" name="date-modified">
    <vt:lpwstr>January 22,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odified-title">
    <vt:lpwstr>Updated</vt:lpwstr>
  </property>
  <property fmtid="{D5CDD505-2E9C-101B-9397-08002B2CF9AE}" pid="17" name="nocite">
    <vt:lpwstr>@Pojman.2006 @Howard-Snyder.etal.2013</vt:lpwstr>
  </property>
  <property fmtid="{D5CDD505-2E9C-101B-9397-08002B2CF9AE}" pid="18" name="number-depth">
    <vt:lpwstr>3</vt:lpwstr>
  </property>
  <property fmtid="{D5CDD505-2E9C-101B-9397-08002B2CF9AE}" pid="19" name="published-title">
    <vt:lpwstr>Lecture Date</vt:lpwstr>
  </property>
  <property fmtid="{D5CDD505-2E9C-101B-9397-08002B2CF9AE}" pid="20" name="subtitle">
    <vt:lpwstr>Basics</vt:lpwstr>
  </property>
  <property fmtid="{D5CDD505-2E9C-101B-9397-08002B2CF9AE}" pid="21" name="tbl-cap-location">
    <vt:lpwstr>top</vt:lpwstr>
  </property>
  <property fmtid="{D5CDD505-2E9C-101B-9397-08002B2CF9AE}" pid="22" name="toc-title">
    <vt:lpwstr>Table of contents</vt:lpwstr>
  </property>
</Properties>
</file>