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Plato, Aristotle, and the Problem of Universals</w:t>
      </w:r>
    </w:p>
    <w:p>
      <w:pPr>
        <w:pStyle w:val="Author"/>
      </w:pPr>
      <w:r>
        <w:t xml:space="preserve">Christopher L. Holland</w:t>
      </w:r>
    </w:p>
    <w:p>
      <w:pPr>
        <w:pStyle w:val="Date"/>
      </w:pPr>
      <w:r>
        <w:t xml:space="preserve">February 13, 2025</w:t>
      </w:r>
    </w:p>
    <w:p>
      <w:pPr>
        <w:pStyle w:val="FirstParagraph"/>
      </w:pPr>
      <w:r>
        <w:t xml:space="preserve">Before we look at epistemology in contemporary philosophy we will take a quick look at a related question in metaphysics.</w:t>
      </w:r>
    </w:p>
    <w:bookmarkStart w:id="22" w:name="Xf7993a43f7e40defcf777d8d9d392b2aa9ef212"/>
    <w:p>
      <w:pPr>
        <w:pStyle w:val="Heading1"/>
      </w:pPr>
      <w:r>
        <w:t xml:space="preserve">1. Background (Some Quick Ancient Metaphysics)</w:t>
      </w:r>
    </w:p>
    <w:bookmarkStart w:id="20" w:name="plato-and-platonic-realism"/>
    <w:p>
      <w:pPr>
        <w:pStyle w:val="Heading2"/>
      </w:pPr>
      <w:r>
        <w:t xml:space="preserve">1.1 Plato and Platonic Realism</w:t>
      </w:r>
    </w:p>
    <w:p>
      <w:pPr>
        <w:pStyle w:val="Compact"/>
        <w:numPr>
          <w:ilvl w:val="0"/>
          <w:numId w:val="1001"/>
        </w:numPr>
      </w:pPr>
      <w:r>
        <w:t xml:space="preserve">Theory of the Forms (Eternal Ideas)</w:t>
      </w:r>
    </w:p>
    <w:p>
      <w:pPr>
        <w:pStyle w:val="Compact"/>
        <w:numPr>
          <w:ilvl w:val="1"/>
          <w:numId w:val="1002"/>
        </w:numPr>
      </w:pPr>
      <w:r>
        <w:t xml:space="preserve">How can there be many of one kind of thing?</w:t>
      </w:r>
    </w:p>
    <w:p>
      <w:pPr>
        <w:pStyle w:val="Compact"/>
        <w:numPr>
          <w:ilvl w:val="2"/>
          <w:numId w:val="1003"/>
        </w:numPr>
      </w:pPr>
      <w:r>
        <w:t xml:space="preserve">What do red things have in common? Their form: Redness.</w:t>
      </w:r>
    </w:p>
    <w:p>
      <w:pPr>
        <w:pStyle w:val="Compact"/>
        <w:numPr>
          <w:ilvl w:val="2"/>
          <w:numId w:val="1003"/>
        </w:numPr>
      </w:pPr>
      <w:r>
        <w:t xml:space="preserve">What do trees have in common? Their form: Treeness.</w:t>
      </w:r>
    </w:p>
    <w:p>
      <w:pPr>
        <w:pStyle w:val="Compact"/>
        <w:numPr>
          <w:ilvl w:val="2"/>
          <w:numId w:val="1003"/>
        </w:numPr>
      </w:pPr>
      <w:r>
        <w:t xml:space="preserve">What do human beings have in common? Their form: Humanness.</w:t>
      </w:r>
    </w:p>
    <w:p>
      <w:pPr>
        <w:pStyle w:val="Compact"/>
        <w:numPr>
          <w:ilvl w:val="2"/>
          <w:numId w:val="1003"/>
        </w:numPr>
      </w:pPr>
      <w:r>
        <w:t xml:space="preserve">What do all good things have in common? Their form: Goodness.</w:t>
      </w:r>
    </w:p>
    <w:p>
      <w:pPr>
        <w:pStyle w:val="Compact"/>
        <w:numPr>
          <w:ilvl w:val="1"/>
          <w:numId w:val="1002"/>
        </w:numPr>
      </w:pPr>
      <w:r>
        <w:t xml:space="preserve">Plato’s answer: Particular things (this red thing, this tree, etc.)</w:t>
      </w:r>
      <w:r>
        <w:t xml:space="preserve"> </w:t>
      </w:r>
      <w:r>
        <w:t xml:space="preserve">“participate in”</w:t>
      </w:r>
      <w:r>
        <w:t xml:space="preserve"> </w:t>
      </w:r>
      <w:r>
        <w:t xml:space="preserve">the Forms (redness, treeness, etc.)</w:t>
      </w:r>
    </w:p>
    <w:p>
      <w:pPr>
        <w:pStyle w:val="Compact"/>
        <w:numPr>
          <w:ilvl w:val="2"/>
          <w:numId w:val="1004"/>
        </w:numPr>
      </w:pPr>
      <w:r>
        <w:t xml:space="preserve">Particular things change</w:t>
      </w:r>
    </w:p>
    <w:p>
      <w:pPr>
        <w:pStyle w:val="Compact"/>
        <w:numPr>
          <w:ilvl w:val="2"/>
          <w:numId w:val="1004"/>
        </w:numPr>
      </w:pPr>
      <w:r>
        <w:t xml:space="preserve">Forms do not. They are</w:t>
      </w:r>
    </w:p>
    <w:p>
      <w:pPr>
        <w:pStyle w:val="Compact"/>
        <w:numPr>
          <w:ilvl w:val="3"/>
          <w:numId w:val="1005"/>
        </w:numPr>
      </w:pPr>
      <w:r>
        <w:t xml:space="preserve">Eternal</w:t>
      </w:r>
    </w:p>
    <w:p>
      <w:pPr>
        <w:pStyle w:val="Compact"/>
        <w:numPr>
          <w:ilvl w:val="3"/>
          <w:numId w:val="1005"/>
        </w:numPr>
      </w:pPr>
      <w:r>
        <w:t xml:space="preserve">Unchanging</w:t>
      </w:r>
    </w:p>
    <w:p>
      <w:pPr>
        <w:pStyle w:val="Compact"/>
        <w:numPr>
          <w:ilvl w:val="1"/>
          <w:numId w:val="1002"/>
        </w:numPr>
      </w:pPr>
      <w:r>
        <w:t xml:space="preserve">Neoplatonic Interpretation: The Forms are the most</w:t>
      </w:r>
      <w:r>
        <w:t xml:space="preserve"> </w:t>
      </w:r>
      <w:r>
        <w:rPr>
          <w:i/>
          <w:iCs/>
        </w:rPr>
        <w:t xml:space="preserve">real</w:t>
      </w:r>
      <w:r>
        <w:t xml:space="preserve"> </w:t>
      </w:r>
      <w:r>
        <w:t xml:space="preserve">things; particular things are less real than the Forms</w:t>
      </w:r>
    </w:p>
    <w:p>
      <w:pPr>
        <w:pStyle w:val="Compact"/>
        <w:numPr>
          <w:ilvl w:val="1"/>
          <w:numId w:val="1002"/>
        </w:numPr>
      </w:pPr>
      <w:r>
        <w:t xml:space="preserve">Alternative Interpretation: Forms and particulars are equally real. The Forms are good objects of knowledge (because they do not change). Particulars are bad objects of knowledge (because they can change).</w:t>
      </w:r>
    </w:p>
    <w:p>
      <w:pPr>
        <w:pStyle w:val="Compact"/>
        <w:numPr>
          <w:ilvl w:val="0"/>
          <w:numId w:val="1001"/>
        </w:numPr>
      </w:pPr>
      <w:r>
        <w:t xml:space="preserve">Innate Ideas: Knowing as Remembering</w:t>
      </w:r>
    </w:p>
    <w:p>
      <w:pPr>
        <w:pStyle w:val="Compact"/>
        <w:numPr>
          <w:ilvl w:val="1"/>
          <w:numId w:val="1006"/>
        </w:numPr>
      </w:pPr>
      <w:r>
        <w:t xml:space="preserve">Plato held that learning is really a recollecting of what we learned in a previous existence.</w:t>
      </w:r>
    </w:p>
    <w:p>
      <w:pPr>
        <w:pStyle w:val="Compact"/>
        <w:numPr>
          <w:ilvl w:val="1"/>
          <w:numId w:val="1006"/>
        </w:numPr>
      </w:pPr>
      <w:r>
        <w:t xml:space="preserve">Later Platonists suggest that we were created with these ideas.</w:t>
      </w:r>
    </w:p>
    <w:p>
      <w:pPr>
        <w:pStyle w:val="Compact"/>
        <w:numPr>
          <w:ilvl w:val="0"/>
          <w:numId w:val="1001"/>
        </w:numPr>
      </w:pPr>
      <w:r>
        <w:t xml:space="preserve">Implications</w:t>
      </w:r>
    </w:p>
    <w:p>
      <w:pPr>
        <w:pStyle w:val="Compact"/>
        <w:numPr>
          <w:ilvl w:val="1"/>
          <w:numId w:val="1007"/>
        </w:numPr>
      </w:pPr>
      <w:r>
        <w:t xml:space="preserve">Knowledge is only about things that do not change</w:t>
      </w:r>
    </w:p>
    <w:p>
      <w:pPr>
        <w:pStyle w:val="Compact"/>
        <w:numPr>
          <w:ilvl w:val="1"/>
          <w:numId w:val="1007"/>
        </w:numPr>
      </w:pPr>
      <w:r>
        <w:t xml:space="preserve">Truth does not change</w:t>
      </w:r>
    </w:p>
    <w:p>
      <w:pPr>
        <w:pStyle w:val="Compact"/>
        <w:numPr>
          <w:ilvl w:val="1"/>
          <w:numId w:val="1007"/>
        </w:numPr>
      </w:pPr>
      <w:r>
        <w:t xml:space="preserve">But, mere belief/opinion is</w:t>
      </w:r>
    </w:p>
    <w:p>
      <w:pPr>
        <w:pStyle w:val="Compact"/>
        <w:numPr>
          <w:ilvl w:val="2"/>
          <w:numId w:val="1008"/>
        </w:numPr>
      </w:pPr>
      <w:r>
        <w:t xml:space="preserve">about changing things</w:t>
      </w:r>
    </w:p>
    <w:p>
      <w:pPr>
        <w:pStyle w:val="Compact"/>
        <w:numPr>
          <w:ilvl w:val="2"/>
          <w:numId w:val="1008"/>
        </w:numPr>
      </w:pPr>
      <w:r>
        <w:t xml:space="preserve">about appearances</w:t>
      </w:r>
    </w:p>
    <w:bookmarkEnd w:id="20"/>
    <w:bookmarkStart w:id="21" w:name="aristotle-and-aristotelian-realism"/>
    <w:p>
      <w:pPr>
        <w:pStyle w:val="Heading2"/>
      </w:pPr>
      <w:r>
        <w:t xml:space="preserve">1.2 Aristotle and Aristotelian Realism</w:t>
      </w:r>
    </w:p>
    <w:p>
      <w:pPr>
        <w:pStyle w:val="Compact"/>
        <w:numPr>
          <w:ilvl w:val="0"/>
          <w:numId w:val="1009"/>
        </w:numPr>
      </w:pPr>
      <w:r>
        <w:t xml:space="preserve">Rejected Plato’s Theory of the Forms</w:t>
      </w:r>
    </w:p>
    <w:p>
      <w:pPr>
        <w:pStyle w:val="Compact"/>
        <w:numPr>
          <w:ilvl w:val="0"/>
          <w:numId w:val="1009"/>
        </w:numPr>
      </w:pPr>
      <w:r>
        <w:t xml:space="preserve">Forms are merely the way that particular things exist</w:t>
      </w:r>
    </w:p>
    <w:p>
      <w:pPr>
        <w:pStyle w:val="Compact"/>
        <w:numPr>
          <w:ilvl w:val="0"/>
          <w:numId w:val="1009"/>
        </w:numPr>
      </w:pPr>
      <w:r>
        <w:rPr>
          <w:i/>
          <w:iCs/>
        </w:rPr>
        <w:t xml:space="preserve">Hylomorphism</w:t>
      </w:r>
    </w:p>
    <w:p>
      <w:pPr>
        <w:pStyle w:val="Compact"/>
        <w:numPr>
          <w:ilvl w:val="1"/>
          <w:numId w:val="1010"/>
        </w:numPr>
      </w:pPr>
      <w:r>
        <w:t xml:space="preserve">Particular things are made up of</w:t>
      </w:r>
      <w:r>
        <w:t xml:space="preserve"> </w:t>
      </w:r>
      <w:r>
        <w:rPr>
          <w:i/>
          <w:iCs/>
        </w:rPr>
        <w:t xml:space="preserve">matter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iCs/>
        </w:rPr>
        <w:t xml:space="preserve">form</w:t>
      </w:r>
    </w:p>
    <w:p>
      <w:pPr>
        <w:pStyle w:val="Compact"/>
        <w:numPr>
          <w:ilvl w:val="1"/>
          <w:numId w:val="1010"/>
        </w:numPr>
      </w:pPr>
      <w:r>
        <w:t xml:space="preserve">matter gives a thing</w:t>
      </w:r>
      <w:r>
        <w:t xml:space="preserve"> </w:t>
      </w:r>
      <w:r>
        <w:t xml:space="preserve">“potentiality”</w:t>
      </w:r>
    </w:p>
    <w:p>
      <w:pPr>
        <w:pStyle w:val="Compact"/>
        <w:numPr>
          <w:ilvl w:val="1"/>
          <w:numId w:val="1010"/>
        </w:numPr>
      </w:pPr>
      <w:r>
        <w:t xml:space="preserve">form gives a thing</w:t>
      </w:r>
      <w:r>
        <w:t xml:space="preserve"> </w:t>
      </w:r>
      <w:r>
        <w:t xml:space="preserve">“actuality”</w:t>
      </w:r>
    </w:p>
    <w:p>
      <w:pPr>
        <w:pStyle w:val="Compact"/>
        <w:numPr>
          <w:ilvl w:val="1"/>
          <w:numId w:val="1010"/>
        </w:numPr>
      </w:pPr>
      <w:r>
        <w:t xml:space="preserve">Example:</w:t>
      </w:r>
    </w:p>
    <w:p>
      <w:pPr>
        <w:pStyle w:val="Compact"/>
        <w:numPr>
          <w:ilvl w:val="2"/>
          <w:numId w:val="1011"/>
        </w:numPr>
      </w:pPr>
      <w:r>
        <w:t xml:space="preserve">the same wood can be a tree and later a chair</w:t>
      </w:r>
    </w:p>
    <w:p>
      <w:pPr>
        <w:pStyle w:val="Compact"/>
        <w:numPr>
          <w:ilvl w:val="2"/>
          <w:numId w:val="1011"/>
        </w:numPr>
      </w:pPr>
      <w:r>
        <w:t xml:space="preserve">the matter (wood) is the same but the form (tree then chair) changes</w:t>
      </w:r>
    </w:p>
    <w:p>
      <w:pPr>
        <w:pStyle w:val="Compact"/>
        <w:numPr>
          <w:ilvl w:val="0"/>
          <w:numId w:val="1009"/>
        </w:numPr>
      </w:pPr>
      <w:r>
        <w:t xml:space="preserve">Abstraction: A process of the mind that separates</w:t>
      </w:r>
      <w:r>
        <w:t xml:space="preserve"> </w:t>
      </w:r>
      <w:r>
        <w:rPr>
          <w:i/>
          <w:iCs/>
        </w:rPr>
        <w:t xml:space="preserve">form</w:t>
      </w:r>
      <w:r>
        <w:t xml:space="preserve"> </w:t>
      </w:r>
      <w:r>
        <w:t xml:space="preserve">from</w:t>
      </w:r>
      <w:r>
        <w:t xml:space="preserve"> </w:t>
      </w:r>
      <w:r>
        <w:rPr>
          <w:i/>
          <w:iCs/>
        </w:rPr>
        <w:t xml:space="preserve">matter</w:t>
      </w:r>
    </w:p>
    <w:bookmarkEnd w:id="21"/>
    <w:bookmarkEnd w:id="22"/>
    <w:bookmarkStart w:id="27" w:name="scott-bermans-flow-chart-for-universals"/>
    <w:p>
      <w:pPr>
        <w:pStyle w:val="Heading1"/>
      </w:pPr>
      <w:r>
        <w:t xml:space="preserve">2. Scott Berman’s Flow Chart for Universals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6" w:name="fig-universals"/>
          <w:p>
            <w:pPr>
              <w:jc w:val="center"/>
            </w:pPr>
          </w:p>
          <w:p>
            <w:pPr>
              <w:jc w:val="center"/>
            </w:pPr>
            <w:r>
              <w:drawing>
                <wp:inline>
                  <wp:extent cx="4572000" cy="36576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08-universals_files/figure-docx/dot-figure-1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Flow chart based on the appendix to Scott Berman,</w:t>
            </w:r>
            <w:r>
              <w:t xml:space="preserve"> </w:t>
            </w:r>
            <w:r>
              <w:rPr>
                <w:i/>
                <w:iCs/>
              </w:rPr>
              <w:t xml:space="preserve">Platonism and the Objects of Science</w:t>
            </w:r>
            <w:r>
              <w:t xml:space="preserve"> </w:t>
            </w:r>
            <w:r>
              <w:t xml:space="preserve">(London: Bloomsbury Academic, 2020).</w:t>
            </w:r>
          </w:p>
          <w:bookmarkEnd w:id="26"/>
        </w:tc>
      </w:tr>
    </w:tbl>
    <w:bookmarkEnd w:id="27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Plato, Aristotle, and the Problem of Universals</dc:title>
  <dc:creator>Christopher L. Holland</dc:creator>
  <cp:keywords/>
  <dcterms:created xsi:type="dcterms:W3CDTF">2025-04-29T23:48:25Z</dcterms:created>
  <dcterms:modified xsi:type="dcterms:W3CDTF">2025-04-29T23:48:25Z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ion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ffiliation">
    <vt:lpwstr/>
  </property>
  <property fmtid="{D5CDD505-2E9C-101B-9397-08002B2CF9AE}" pid="7" name="by-author">
    <vt:lpwstr/>
  </property>
  <property fmtid="{D5CDD505-2E9C-101B-9397-08002B2CF9AE}" pid="8" name="copyright">
    <vt:lpwstr/>
  </property>
  <property fmtid="{D5CDD505-2E9C-101B-9397-08002B2CF9AE}" pid="9" name="date">
    <vt:lpwstr>February 13, 2025</vt:lpwstr>
  </property>
  <property fmtid="{D5CDD505-2E9C-101B-9397-08002B2CF9AE}" pid="10" name="date-format">
    <vt:lpwstr>long</vt:lpwstr>
  </property>
  <property fmtid="{D5CDD505-2E9C-101B-9397-08002B2CF9AE}" pid="11" name="date-modified">
    <vt:lpwstr>February 12, 2025</vt:lpwstr>
  </property>
  <property fmtid="{D5CDD505-2E9C-101B-9397-08002B2CF9AE}" pid="12" name="header-includes">
    <vt:lpwstr/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modified-title">
    <vt:lpwstr>Updated</vt:lpwstr>
  </property>
  <property fmtid="{D5CDD505-2E9C-101B-9397-08002B2CF9AE}" pid="17" name="number-depth">
    <vt:lpwstr>3</vt:lpwstr>
  </property>
  <property fmtid="{D5CDD505-2E9C-101B-9397-08002B2CF9AE}" pid="18" name="published-title">
    <vt:lpwstr>Lecture Date</vt:lpwstr>
  </property>
  <property fmtid="{D5CDD505-2E9C-101B-9397-08002B2CF9AE}" pid="19" name="tbl-cap-location">
    <vt:lpwstr>top</vt:lpwstr>
  </property>
  <property fmtid="{D5CDD505-2E9C-101B-9397-08002B2CF9AE}" pid="20" name="toc-title">
    <vt:lpwstr>Table of contents</vt:lpwstr>
  </property>
</Properties>
</file>