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The Nature of Faith</w:t>
      </w:r>
    </w:p>
    <w:p>
      <w:pPr>
        <w:pStyle w:val="Author"/>
      </w:pPr>
      <w:r>
        <w:t xml:space="preserve">Christopher L. Holland</w:t>
      </w:r>
    </w:p>
    <w:p>
      <w:pPr>
        <w:pStyle w:val="Date"/>
      </w:pPr>
      <w:r>
        <w:t xml:space="preserve">March 4, 2025</w:t>
      </w:r>
    </w:p>
    <w:bookmarkStart w:id="23" w:name="faith-vs.-belief-that"/>
    <w:p>
      <w:pPr>
        <w:pStyle w:val="Heading1"/>
      </w:pPr>
      <w:r>
        <w:t xml:space="preserve">1. Faith vs. Belief-that</w:t>
      </w:r>
    </w:p>
    <w:bookmarkStart w:id="20" w:name="from-the-oxford-english-dictionary-oed"/>
    <w:p>
      <w:pPr>
        <w:pStyle w:val="Heading2"/>
      </w:pPr>
      <w:r>
        <w:t xml:space="preserve">1.1 From the Oxford English Dictionary (OED)</w:t>
      </w:r>
    </w:p>
    <w:p>
      <w:pPr>
        <w:pStyle w:val="DefinitionTerm"/>
      </w:pPr>
      <w:r>
        <w:t xml:space="preserve">belief (noun)</w:t>
      </w:r>
    </w:p>
    <w:p>
      <w:pPr>
        <w:pStyle w:val="Compact"/>
        <w:numPr>
          <w:ilvl w:val="0"/>
          <w:numId w:val="1001"/>
        </w:numPr>
      </w:pPr>
      <w:r>
        <w:t xml:space="preserve">an affirmation that something is true</w:t>
      </w:r>
    </w:p>
    <w:p>
      <w:pPr>
        <w:pStyle w:val="Compact"/>
        <w:numPr>
          <w:ilvl w:val="0"/>
          <w:numId w:val="1001"/>
        </w:numPr>
      </w:pPr>
      <w:r>
        <w:t xml:space="preserve">(belief in) trust, faith, or confidence in someone or something</w:t>
      </w:r>
    </w:p>
    <w:p>
      <w:pPr>
        <w:pStyle w:val="DefinitionTerm"/>
      </w:pPr>
      <w:r>
        <w:t xml:space="preserve">believe (verb)</w:t>
      </w:r>
    </w:p>
    <w:p>
      <w:pPr>
        <w:pStyle w:val="Compact"/>
        <w:numPr>
          <w:ilvl w:val="0"/>
          <w:numId w:val="1002"/>
        </w:numPr>
      </w:pPr>
      <w:r>
        <w:t xml:space="preserve">accept (something) as true</w:t>
      </w:r>
    </w:p>
    <w:p>
      <w:pPr>
        <w:pStyle w:val="Compact"/>
        <w:numPr>
          <w:ilvl w:val="0"/>
          <w:numId w:val="1002"/>
        </w:numPr>
      </w:pPr>
      <w:r>
        <w:t xml:space="preserve">hold (something) as an opinion</w:t>
      </w:r>
    </w:p>
    <w:p>
      <w:pPr>
        <w:pStyle w:val="DefinitionTerm"/>
      </w:pPr>
      <w:r>
        <w:t xml:space="preserve">faith (noun)</w:t>
      </w:r>
    </w:p>
    <w:p>
      <w:pPr>
        <w:pStyle w:val="Compact"/>
        <w:numPr>
          <w:ilvl w:val="0"/>
          <w:numId w:val="1003"/>
        </w:numPr>
      </w:pPr>
      <w:r>
        <w:t xml:space="preserve">complete trust or confidence in someone or something</w:t>
      </w:r>
    </w:p>
    <w:p>
      <w:pPr>
        <w:pStyle w:val="Compact"/>
        <w:numPr>
          <w:ilvl w:val="0"/>
          <w:numId w:val="1003"/>
        </w:numPr>
      </w:pPr>
      <w:r>
        <w:t xml:space="preserve">strong belief in God or in the doctrines of a religion</w:t>
      </w:r>
    </w:p>
    <w:p>
      <w:pPr>
        <w:pStyle w:val="DefinitionTerm"/>
      </w:pPr>
      <w:r>
        <w:t xml:space="preserve">faith (v)</w:t>
      </w:r>
    </w:p>
    <w:p>
      <w:pPr>
        <w:pStyle w:val="Definition"/>
      </w:pPr>
      <w:r>
        <w:t xml:space="preserve">MISSING (faith is not an English verb)</w:t>
      </w:r>
    </w:p>
    <w:bookmarkEnd w:id="20"/>
    <w:bookmarkStart w:id="21" w:name="faith-and-belief-in-philosophy"/>
    <w:p>
      <w:pPr>
        <w:pStyle w:val="Heading2"/>
      </w:pPr>
      <w:r>
        <w:t xml:space="preserve">1.2 Faith and Belief in Philosophy</w:t>
      </w:r>
    </w:p>
    <w:p>
      <w:pPr>
        <w:pStyle w:val="DefinitionTerm"/>
      </w:pPr>
      <w:r>
        <w:t xml:space="preserve">Belief-that</w:t>
      </w:r>
    </w:p>
    <w:p>
      <w:pPr>
        <w:pStyle w:val="Definition"/>
      </w:pPr>
      <w:r>
        <w:t xml:space="preserve">a propositional attitude aimed at truth</w:t>
      </w:r>
    </w:p>
    <w:p>
      <w:pPr>
        <w:pStyle w:val="Definition"/>
      </w:pPr>
      <w:r>
        <w:t xml:space="preserve">corresponds to OED’s</w:t>
      </w:r>
      <w:r>
        <w:t xml:space="preserve"> </w:t>
      </w:r>
      <w:r>
        <w:rPr>
          <w:i/>
          <w:iCs/>
        </w:rPr>
        <w:t xml:space="preserve">belief</w:t>
      </w:r>
      <w:r>
        <w:t xml:space="preserve"> </w:t>
      </w:r>
      <w:r>
        <w:t xml:space="preserve">(n) definition 1</w:t>
      </w:r>
    </w:p>
    <w:p>
      <w:pPr>
        <w:pStyle w:val="DefinitionTerm"/>
      </w:pPr>
      <w:r>
        <w:t xml:space="preserve">Faith (belief-in)</w:t>
      </w:r>
    </w:p>
    <w:p>
      <w:pPr>
        <w:pStyle w:val="Definition"/>
      </w:pPr>
      <w:r>
        <w:t xml:space="preserve">trust or confidence in someone or something</w:t>
      </w:r>
    </w:p>
    <w:p>
      <w:pPr>
        <w:pStyle w:val="Definition"/>
      </w:pPr>
      <w:r>
        <w:t xml:space="preserve">corresponds to OED’s</w:t>
      </w:r>
      <w:r>
        <w:t xml:space="preserve"> </w:t>
      </w:r>
      <w:r>
        <w:rPr>
          <w:i/>
          <w:iCs/>
        </w:rPr>
        <w:t xml:space="preserve">belief</w:t>
      </w:r>
      <w:r>
        <w:t xml:space="preserve"> </w:t>
      </w:r>
      <w:r>
        <w:t xml:space="preserve">(n) definition 2</w:t>
      </w:r>
    </w:p>
    <w:p>
      <w:pPr>
        <w:pStyle w:val="FirstParagraph"/>
      </w:pPr>
      <w:r>
        <w:t xml:space="preserve">Some Quotes Representing Different View of Faith:</w:t>
      </w:r>
    </w:p>
    <w:p>
      <w:pPr>
        <w:pStyle w:val="BlockText"/>
      </w:pPr>
      <w:r>
        <w:t xml:space="preserve">Now faith is confidence in what we hope for and assurance about what we do not see.</w:t>
      </w:r>
    </w:p>
    <w:p>
      <w:pPr>
        <w:pStyle w:val="FirstParagraph"/>
      </w:pPr>
      <w:r>
        <w:t xml:space="preserve">   – Hebrews 11:1, NIV</w:t>
      </w:r>
    </w:p>
    <w:p>
      <w:pPr>
        <w:pStyle w:val="BlockText"/>
      </w:pPr>
      <w:r>
        <w:t xml:space="preserve">There are those who scoff at the schoolboy, calling him frivolous and shallow. Yet it was the schoolboy who said,</w:t>
      </w:r>
      <w:r>
        <w:t xml:space="preserve"> </w:t>
      </w:r>
      <w:r>
        <w:t xml:space="preserve">“Faith is believing what you know ain’t so.”</w:t>
      </w:r>
      <w:r>
        <w:br/>
      </w:r>
    </w:p>
    <w:p>
      <w:pPr>
        <w:pStyle w:val="FirstParagraph"/>
      </w:pPr>
      <w:r>
        <w:t xml:space="preserve">   – Mark Twain,</w:t>
      </w:r>
      <w:r>
        <w:t xml:space="preserve"> </w:t>
      </w:r>
      <w:r>
        <w:rPr>
          <w:i/>
          <w:iCs/>
        </w:rPr>
        <w:t xml:space="preserve">Pudd’nhead Wilson’s Calendar</w:t>
      </w:r>
    </w:p>
    <w:p>
      <w:pPr>
        <w:pStyle w:val="BlockText"/>
      </w:pPr>
      <w:r>
        <w:t xml:space="preserve">A casual stroll through the lunatic asylum shows that faith does not prove anything.</w:t>
      </w:r>
    </w:p>
    <w:p>
      <w:pPr>
        <w:pStyle w:val="FirstParagraph"/>
      </w:pPr>
      <w:r>
        <w:t xml:space="preserve">   – Paraphrase of Nietzsche,</w:t>
      </w:r>
      <w:r>
        <w:t xml:space="preserve"> </w:t>
      </w:r>
      <w:r>
        <w:rPr>
          <w:i/>
          <w:iCs/>
        </w:rPr>
        <w:t xml:space="preserve">The Antichrist</w:t>
      </w:r>
    </w:p>
    <w:bookmarkEnd w:id="21"/>
    <w:bookmarkStart w:id="22" w:name="section"/>
    <w:p>
      <w:pPr>
        <w:pStyle w:val="Heading2"/>
      </w:pPr>
      <w:r>
        <w:t xml:space="preserve">1.3</w:t>
      </w:r>
      <w:r>
        <w:t xml:space="preserve"> </w:t>
      </w:r>
    </w:p>
    <w:p>
      <w:pPr>
        <w:pStyle w:val="BlockText"/>
      </w:pPr>
      <w:r>
        <w:t xml:space="preserve">Faith … is the art of holding on to things your reason has once accepted in spite of your changing moods.</w:t>
      </w:r>
    </w:p>
    <w:p>
      <w:pPr>
        <w:pStyle w:val="FirstParagraph"/>
      </w:pPr>
      <w:r>
        <w:t xml:space="preserve">   – CS Lewis,</w:t>
      </w:r>
      <w:r>
        <w:t xml:space="preserve"> </w:t>
      </w:r>
      <w:r>
        <w:rPr>
          <w:i/>
          <w:iCs/>
        </w:rPr>
        <w:t xml:space="preserve">Mere Christianity</w:t>
      </w:r>
    </w:p>
    <w:bookmarkEnd w:id="22"/>
    <w:bookmarkEnd w:id="23"/>
    <w:bookmarkStart w:id="30" w:name="X1ae7d4714ecd4b6e295227335ebeb34a28dfc71"/>
    <w:p>
      <w:pPr>
        <w:pStyle w:val="Heading1"/>
      </w:pPr>
      <w:r>
        <w:t xml:space="preserve">2. Swinburne’s Analysis of Faith in the Christian Tradition</w:t>
      </w:r>
    </w:p>
    <w:bookmarkStart w:id="24" w:name="Xa131f28964b9e4dda1d9367883b986608036083"/>
    <w:p>
      <w:pPr>
        <w:pStyle w:val="Heading2"/>
      </w:pPr>
      <w:r>
        <w:t xml:space="preserve">2.1 Thomistic View of Faith:</w:t>
      </w:r>
      <w:r>
        <w:t xml:space="preserve"> </w:t>
      </w:r>
      <w:r>
        <w:t xml:space="preserve">Two Kinds of Faith</w:t>
      </w:r>
    </w:p>
    <w:p>
      <w:pPr>
        <w:pStyle w:val="Compact"/>
        <w:numPr>
          <w:ilvl w:val="0"/>
          <w:numId w:val="1004"/>
        </w:numPr>
      </w:pPr>
      <w:r>
        <w:t xml:space="preserve">Non-Meritorious</w:t>
      </w:r>
    </w:p>
    <w:p>
      <w:pPr>
        <w:pStyle w:val="Compact"/>
        <w:numPr>
          <w:ilvl w:val="0"/>
          <w:numId w:val="1004"/>
        </w:numPr>
      </w:pPr>
      <w:r>
        <w:t xml:space="preserve">Meritorious</w:t>
      </w:r>
    </w:p>
    <w:bookmarkEnd w:id="24"/>
    <w:bookmarkStart w:id="25" w:name="Xac50f4b0bd0a49b6487a4b9ecea76246df1d009"/>
    <w:p>
      <w:pPr>
        <w:pStyle w:val="Heading2"/>
      </w:pPr>
      <w:r>
        <w:t xml:space="preserve">2.2 Thomistic View of Faith:</w:t>
      </w:r>
      <w:r>
        <w:t xml:space="preserve"> </w:t>
      </w:r>
      <w:r>
        <w:t xml:space="preserve">Non-Meritorious Faith</w:t>
      </w:r>
    </w:p>
    <w:p>
      <w:pPr>
        <w:pStyle w:val="Compact"/>
        <w:numPr>
          <w:ilvl w:val="0"/>
          <w:numId w:val="1005"/>
        </w:numPr>
      </w:pPr>
      <w:r>
        <w:t xml:space="preserve">to have faith is to believe certain revealed propositions (the articles of faith)</w:t>
      </w:r>
    </w:p>
    <w:p>
      <w:pPr>
        <w:pStyle w:val="Compact"/>
        <w:numPr>
          <w:ilvl w:val="0"/>
          <w:numId w:val="1005"/>
        </w:numPr>
      </w:pPr>
      <w:r>
        <w:t xml:space="preserve">this belief-that cannot amount to scientific knowledge (</w:t>
      </w:r>
      <w:r>
        <w:rPr>
          <w:i/>
          <w:iCs/>
        </w:rPr>
        <w:t xml:space="preserve">scientia</w:t>
      </w:r>
      <w:r>
        <w:t xml:space="preserve">)</w:t>
      </w:r>
    </w:p>
    <w:p>
      <w:pPr>
        <w:pStyle w:val="Compact"/>
        <w:numPr>
          <w:ilvl w:val="0"/>
          <w:numId w:val="1005"/>
        </w:numPr>
      </w:pPr>
      <w:r>
        <w:t xml:space="preserve">Aquinas quotes Hugh of St Victor:</w:t>
      </w:r>
      <w:r>
        <w:t xml:space="preserve"> </w:t>
      </w:r>
      <w:r>
        <w:t xml:space="preserve">“faith (</w:t>
      </w:r>
      <w:r>
        <w:rPr>
          <w:i/>
          <w:iCs/>
        </w:rPr>
        <w:t xml:space="preserve">fides</w:t>
      </w:r>
      <w:r>
        <w:t xml:space="preserve">) is a form of mental certitude about absent realities that is greater than opinion (</w:t>
      </w:r>
      <w:r>
        <w:rPr>
          <w:i/>
          <w:iCs/>
        </w:rPr>
        <w:t xml:space="preserve">opinio</w:t>
      </w:r>
      <w:r>
        <w:t xml:space="preserve">) and less than scientific knowledge (</w:t>
      </w:r>
      <w:r>
        <w:rPr>
          <w:i/>
          <w:iCs/>
        </w:rPr>
        <w:t xml:space="preserve">scientia</w:t>
      </w:r>
      <w:r>
        <w:t xml:space="preserve">)”</w:t>
      </w:r>
    </w:p>
    <w:p>
      <w:pPr>
        <w:pStyle w:val="Compact"/>
        <w:numPr>
          <w:ilvl w:val="0"/>
          <w:numId w:val="1005"/>
        </w:numPr>
      </w:pPr>
      <w:r>
        <w:t xml:space="preserve">demons and scoundrels can have this kind of faith</w:t>
      </w:r>
    </w:p>
    <w:bookmarkEnd w:id="25"/>
    <w:bookmarkStart w:id="26" w:name="X71200b21db18372a3b0932e0cfb4222cc03c958"/>
    <w:p>
      <w:pPr>
        <w:pStyle w:val="Heading2"/>
      </w:pPr>
      <w:r>
        <w:t xml:space="preserve">2.3 Thomistic View of Faith:</w:t>
      </w:r>
      <w:r>
        <w:t xml:space="preserve"> </w:t>
      </w:r>
      <w:r>
        <w:t xml:space="preserve">Meritorious Faith</w:t>
      </w:r>
    </w:p>
    <w:p>
      <w:pPr>
        <w:pStyle w:val="Compact"/>
        <w:numPr>
          <w:ilvl w:val="0"/>
          <w:numId w:val="1006"/>
        </w:numPr>
      </w:pPr>
      <w:r>
        <w:t xml:space="preserve">voluntary</w:t>
      </w:r>
    </w:p>
    <w:p>
      <w:pPr>
        <w:pStyle w:val="Compact"/>
        <w:numPr>
          <w:ilvl w:val="0"/>
          <w:numId w:val="1006"/>
        </w:numPr>
      </w:pPr>
      <w:r>
        <w:t xml:space="preserve">formed by love</w:t>
      </w:r>
    </w:p>
    <w:bookmarkEnd w:id="26"/>
    <w:bookmarkStart w:id="27" w:name="lutheran-view-of-faith"/>
    <w:p>
      <w:pPr>
        <w:pStyle w:val="Heading2"/>
      </w:pPr>
      <w:r>
        <w:t xml:space="preserve">2.4 Lutheran View of Faith</w:t>
      </w:r>
    </w:p>
    <w:p>
      <w:pPr>
        <w:pStyle w:val="FirstParagraph"/>
      </w:pPr>
      <w:r>
        <w:t xml:space="preserve">Three parts</w:t>
      </w:r>
    </w:p>
    <w:p>
      <w:pPr>
        <w:pStyle w:val="Compact"/>
        <w:numPr>
          <w:ilvl w:val="0"/>
          <w:numId w:val="1007"/>
        </w:numPr>
      </w:pPr>
      <w:r>
        <w:t xml:space="preserve">Understanding (</w:t>
      </w:r>
      <w:r>
        <w:rPr>
          <w:i/>
          <w:iCs/>
        </w:rPr>
        <w:t xml:space="preserve">notitia</w:t>
      </w:r>
      <w:r>
        <w:t xml:space="preserve">): involves knowing the content of faith (i.e., what propositions are to be believed)</w:t>
      </w:r>
    </w:p>
    <w:p>
      <w:pPr>
        <w:pStyle w:val="Compact"/>
        <w:numPr>
          <w:ilvl w:val="0"/>
          <w:numId w:val="1007"/>
        </w:numPr>
      </w:pPr>
      <w:r>
        <w:t xml:space="preserve">Assent (</w:t>
      </w:r>
      <w:r>
        <w:rPr>
          <w:i/>
          <w:iCs/>
        </w:rPr>
        <w:t xml:space="preserve">assensus</w:t>
      </w:r>
      <w:r>
        <w:t xml:space="preserve">): intellectual assent or belief-that (i.e., actually believing those propositions)</w:t>
      </w:r>
    </w:p>
    <w:p>
      <w:pPr>
        <w:pStyle w:val="Compact"/>
        <w:numPr>
          <w:ilvl w:val="0"/>
          <w:numId w:val="1007"/>
        </w:numPr>
      </w:pPr>
      <w:r>
        <w:t xml:space="preserve">Trust (</w:t>
      </w:r>
      <w:r>
        <w:rPr>
          <w:i/>
          <w:iCs/>
        </w:rPr>
        <w:t xml:space="preserve">fiducia</w:t>
      </w:r>
      <w:r>
        <w:t xml:space="preserve">): trust / belief in</w:t>
      </w:r>
    </w:p>
    <w:bookmarkEnd w:id="27"/>
    <w:bookmarkStart w:id="28" w:name="lutheran-view-of-faith-fiducia"/>
    <w:p>
      <w:pPr>
        <w:pStyle w:val="Heading2"/>
      </w:pPr>
      <w:r>
        <w:t xml:space="preserve">2.5 Lutheran View of Faith: Fiducia</w:t>
      </w:r>
    </w:p>
    <w:p>
      <w:pPr>
        <w:pStyle w:val="Compact"/>
        <w:numPr>
          <w:ilvl w:val="0"/>
          <w:numId w:val="1008"/>
        </w:numPr>
      </w:pPr>
      <w:r>
        <w:t xml:space="preserve">to act on the assumption that person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will do for you what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knows that you want or need, even when the evidence gives some reason for supposing that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may not and where there will be bad consequences if the assumption is false.</w:t>
      </w:r>
    </w:p>
    <w:p>
      <w:pPr>
        <w:pStyle w:val="Compact"/>
        <w:numPr>
          <w:ilvl w:val="0"/>
          <w:numId w:val="1008"/>
        </w:numPr>
      </w:pPr>
      <w:r>
        <w:t xml:space="preserve">Problem: Even a</w:t>
      </w:r>
      <w:r>
        <w:t xml:space="preserve"> </w:t>
      </w:r>
      <w:r>
        <w:t xml:space="preserve">“perfect scoundrel”</w:t>
      </w:r>
      <w:r>
        <w:t xml:space="preserve"> </w:t>
      </w:r>
      <w:r>
        <w:t xml:space="preserve">can act on the assumption that God will do for her what she wants or needs.</w:t>
      </w:r>
    </w:p>
    <w:p>
      <w:pPr>
        <w:pStyle w:val="Compact"/>
        <w:numPr>
          <w:ilvl w:val="0"/>
          <w:numId w:val="1008"/>
        </w:numPr>
      </w:pPr>
      <w:r>
        <w:t xml:space="preserve">Solution: Add that faith includes agreement with the purposes of the person being trusted</w:t>
      </w:r>
    </w:p>
    <w:bookmarkEnd w:id="28"/>
    <w:bookmarkStart w:id="29" w:name="pragmatic-view"/>
    <w:p>
      <w:pPr>
        <w:pStyle w:val="Heading2"/>
      </w:pPr>
      <w:r>
        <w:t xml:space="preserve">2.6 Pragmatic View</w:t>
      </w:r>
    </w:p>
    <w:p>
      <w:pPr>
        <w:pStyle w:val="Compact"/>
        <w:numPr>
          <w:ilvl w:val="0"/>
          <w:numId w:val="1009"/>
        </w:numPr>
      </w:pPr>
      <w:r>
        <w:t xml:space="preserve">Faith is a matter of acting-as-if some proposition/set of propositions/hypothesis were true</w:t>
      </w:r>
    </w:p>
    <w:p>
      <w:pPr>
        <w:pStyle w:val="Compact"/>
        <w:numPr>
          <w:ilvl w:val="0"/>
          <w:numId w:val="1009"/>
        </w:numPr>
      </w:pPr>
      <w:r>
        <w:t xml:space="preserve">Similar to the Lutheran view: Understanding (</w:t>
      </w:r>
      <w:r>
        <w:rPr>
          <w:i/>
          <w:iCs/>
        </w:rPr>
        <w:t xml:space="preserve">notitia</w:t>
      </w:r>
      <w:r>
        <w:t xml:space="preserve">) and trust (</w:t>
      </w:r>
      <w:r>
        <w:rPr>
          <w:i/>
          <w:iCs/>
        </w:rPr>
        <w:t xml:space="preserve">fiducia</w:t>
      </w:r>
      <w:r>
        <w:t xml:space="preserve">) without assent (</w:t>
      </w:r>
      <w:r>
        <w:rPr>
          <w:i/>
          <w:iCs/>
        </w:rPr>
        <w:t xml:space="preserve">assensus</w:t>
      </w:r>
      <w:r>
        <w:t xml:space="preserve">)</w:t>
      </w:r>
    </w:p>
    <w:bookmarkEnd w:id="29"/>
    <w:bookmarkEnd w:id="30"/>
    <w:bookmarkStart w:id="35" w:name="Xf8ad8da8ab0839e1b7b7c2fb5913b0d10c0cb38"/>
    <w:p>
      <w:pPr>
        <w:pStyle w:val="Heading1"/>
      </w:pPr>
      <w:r>
        <w:t xml:space="preserve">3. Aspects of Faith (in the Christian Tradition)</w:t>
      </w:r>
    </w:p>
    <w:bookmarkStart w:id="31" w:name="the-cognitive-aspect-of-faith"/>
    <w:p>
      <w:pPr>
        <w:pStyle w:val="Heading2"/>
      </w:pPr>
      <w:r>
        <w:t xml:space="preserve">3.1 The Cognitive Aspect of Faith</w:t>
      </w:r>
    </w:p>
    <w:p>
      <w:pPr>
        <w:pStyle w:val="Compact"/>
        <w:numPr>
          <w:ilvl w:val="0"/>
          <w:numId w:val="1010"/>
        </w:numPr>
      </w:pPr>
      <w:r>
        <w:t xml:space="preserve">Faith is belief-entailing</w:t>
      </w:r>
    </w:p>
    <w:p>
      <w:pPr>
        <w:pStyle w:val="Compact"/>
        <w:numPr>
          <w:ilvl w:val="0"/>
          <w:numId w:val="1010"/>
        </w:numPr>
      </w:pPr>
      <w:r>
        <w:t xml:space="preserve">For example:</w:t>
      </w:r>
    </w:p>
    <w:p>
      <w:pPr>
        <w:pStyle w:val="Compact"/>
        <w:numPr>
          <w:ilvl w:val="1"/>
          <w:numId w:val="1011"/>
        </w:numPr>
      </w:pPr>
      <w:r>
        <w:t xml:space="preserve">The Thomistic and Lutheran views require belief in specific articles of faith.</w:t>
      </w:r>
    </w:p>
    <w:p>
      <w:pPr>
        <w:pStyle w:val="Compact"/>
        <w:numPr>
          <w:ilvl w:val="1"/>
          <w:numId w:val="1011"/>
        </w:numPr>
      </w:pPr>
      <w:r>
        <w:t xml:space="preserve">The Pragmatist view requires a belief that one’s purposes in life are best fulfilled by acting-as-if those articles of faith are true.</w:t>
      </w:r>
    </w:p>
    <w:bookmarkEnd w:id="31"/>
    <w:bookmarkStart w:id="32" w:name="the-evaluative-affective-aspect-of-faith"/>
    <w:p>
      <w:pPr>
        <w:pStyle w:val="Heading2"/>
      </w:pPr>
      <w:r>
        <w:t xml:space="preserve">3.2 The Evaluative-Affective Aspect of Faith</w:t>
      </w:r>
    </w:p>
    <w:p>
      <w:pPr>
        <w:pStyle w:val="Compact"/>
        <w:numPr>
          <w:ilvl w:val="0"/>
          <w:numId w:val="1012"/>
        </w:numPr>
      </w:pPr>
      <w:r>
        <w:t xml:space="preserve">Consider James 2:19</w:t>
      </w:r>
      <w:r>
        <w:t xml:space="preserve"> </w:t>
      </w:r>
      <w:r>
        <w:t xml:space="preserve">“You believe that God is one; you do well. Even the demons believe—and shudder”</w:t>
      </w:r>
      <w:r>
        <w:t xml:space="preserve"> </w:t>
      </w:r>
      <w:r>
        <w:t xml:space="preserve">(NRSV).</w:t>
      </w:r>
    </w:p>
    <w:p>
      <w:pPr>
        <w:pStyle w:val="Compact"/>
        <w:numPr>
          <w:ilvl w:val="0"/>
          <w:numId w:val="1012"/>
        </w:numPr>
      </w:pPr>
      <w:r>
        <w:t xml:space="preserve">What if we translated the verse</w:t>
      </w:r>
      <w:r>
        <w:t xml:space="preserve"> </w:t>
      </w:r>
      <w:r>
        <w:t xml:space="preserve">“You have faith that God is one; you do well. Even the demons have faith—and shudder.”</w:t>
      </w:r>
    </w:p>
    <w:p>
      <w:pPr>
        <w:pStyle w:val="Compact"/>
        <w:numPr>
          <w:ilvl w:val="0"/>
          <w:numId w:val="1012"/>
        </w:numPr>
      </w:pPr>
      <w:r>
        <w:t xml:space="preserve">Faith requires a positive attitude toward the person or object of faith</w:t>
      </w:r>
    </w:p>
    <w:bookmarkEnd w:id="32"/>
    <w:bookmarkStart w:id="33" w:name="the-practical-aspect-of-faith"/>
    <w:p>
      <w:pPr>
        <w:pStyle w:val="Heading2"/>
      </w:pPr>
      <w:r>
        <w:t xml:space="preserve">3.3 The Practical Aspect of Faith</w:t>
      </w:r>
    </w:p>
    <w:p>
      <w:pPr>
        <w:pStyle w:val="Compact"/>
        <w:numPr>
          <w:ilvl w:val="0"/>
          <w:numId w:val="1013"/>
        </w:numPr>
      </w:pPr>
      <w:r>
        <w:t xml:space="preserve">Faith influences action</w:t>
      </w:r>
    </w:p>
    <w:p>
      <w:pPr>
        <w:pStyle w:val="Compact"/>
        <w:numPr>
          <w:ilvl w:val="0"/>
          <w:numId w:val="1013"/>
        </w:numPr>
      </w:pPr>
      <w:r>
        <w:t xml:space="preserve">“Complete readiness to do good works”</w:t>
      </w:r>
      <w:r>
        <w:t xml:space="preserve"> </w:t>
      </w:r>
      <w:r>
        <w:t xml:space="preserve">(Swinburne 2005, 141)</w:t>
      </w:r>
    </w:p>
    <w:bookmarkEnd w:id="33"/>
    <w:bookmarkStart w:id="34" w:name="the-interpersonal-aspect-of-faith"/>
    <w:p>
      <w:pPr>
        <w:pStyle w:val="Heading2"/>
      </w:pPr>
      <w:r>
        <w:t xml:space="preserve">3.4 The Interpersonal Aspect of Faith</w:t>
      </w:r>
    </w:p>
    <w:p>
      <w:pPr>
        <w:pStyle w:val="Compact"/>
        <w:numPr>
          <w:ilvl w:val="0"/>
          <w:numId w:val="1014"/>
        </w:numPr>
      </w:pPr>
      <w:r>
        <w:t xml:space="preserve">Faith between persons requires a personal relationship</w:t>
      </w:r>
    </w:p>
    <w:p>
      <w:pPr>
        <w:pStyle w:val="Compact"/>
        <w:numPr>
          <w:ilvl w:val="0"/>
          <w:numId w:val="1014"/>
        </w:numPr>
      </w:pPr>
      <w:r>
        <w:t xml:space="preserve">Christian faith requires a personal relationship with God</w:t>
      </w:r>
    </w:p>
    <w:p>
      <w:pPr>
        <w:pStyle w:val="Compact"/>
        <w:numPr>
          <w:ilvl w:val="0"/>
          <w:numId w:val="1014"/>
        </w:numPr>
      </w:pPr>
      <w:r>
        <w:t xml:space="preserve">Friendship with God</w:t>
      </w:r>
    </w:p>
    <w:bookmarkEnd w:id="34"/>
    <w:bookmarkEnd w:id="35"/>
    <w:bookmarkStart w:id="51" w:name="X4e5b3da4cdff04e91ab48de95e837655e396b64"/>
    <w:p>
      <w:pPr>
        <w:pStyle w:val="Heading1"/>
      </w:pPr>
      <w:r>
        <w:t xml:space="preserve">4. Explicit, Pragmatic, and Implicit Faith focusing the Christian Tradition</w:t>
      </w:r>
    </w:p>
    <w:bookmarkStart w:id="36" w:name="explicit-faith"/>
    <w:p>
      <w:pPr>
        <w:pStyle w:val="Heading2"/>
      </w:pPr>
      <w:r>
        <w:t xml:space="preserve">4.1 Explicit Faith</w:t>
      </w:r>
    </w:p>
    <w:p>
      <w:pPr>
        <w:pStyle w:val="Compact"/>
        <w:numPr>
          <w:ilvl w:val="0"/>
          <w:numId w:val="1015"/>
        </w:numPr>
      </w:pPr>
      <w:r>
        <w:rPr>
          <w:i/>
          <w:iCs/>
        </w:rPr>
        <w:t xml:space="preserve">Notitia</w:t>
      </w:r>
      <w:r>
        <w:t xml:space="preserve">: knowing or understanding the content of faith</w:t>
      </w:r>
    </w:p>
    <w:p>
      <w:pPr>
        <w:pStyle w:val="Compact"/>
        <w:numPr>
          <w:ilvl w:val="0"/>
          <w:numId w:val="1015"/>
        </w:numPr>
      </w:pPr>
      <w:r>
        <w:rPr>
          <w:i/>
          <w:iCs/>
        </w:rPr>
        <w:t xml:space="preserve">Assensus</w:t>
      </w:r>
      <w:r>
        <w:t xml:space="preserve">: assent / belief that . . .</w:t>
      </w:r>
    </w:p>
    <w:p>
      <w:pPr>
        <w:pStyle w:val="Compact"/>
        <w:numPr>
          <w:ilvl w:val="0"/>
          <w:numId w:val="1015"/>
        </w:numPr>
      </w:pPr>
      <w:r>
        <w:rPr>
          <w:i/>
          <w:iCs/>
        </w:rPr>
        <w:t xml:space="preserve">Fiducia</w:t>
      </w:r>
      <w:r>
        <w:t xml:space="preserve">: trust / belief in . . .</w:t>
      </w:r>
    </w:p>
    <w:bookmarkEnd w:id="36"/>
    <w:bookmarkStart w:id="37" w:name="pragmatic-faith"/>
    <w:p>
      <w:pPr>
        <w:pStyle w:val="Heading2"/>
      </w:pPr>
      <w:r>
        <w:t xml:space="preserve">4.2 Pragmatic Faith</w:t>
      </w:r>
    </w:p>
    <w:p>
      <w:pPr>
        <w:pStyle w:val="Compact"/>
        <w:numPr>
          <w:ilvl w:val="0"/>
          <w:numId w:val="1016"/>
        </w:numPr>
      </w:pPr>
      <w:r>
        <w:t xml:space="preserve">Understanding (</w:t>
      </w:r>
      <w:r>
        <w:rPr>
          <w:i/>
          <w:iCs/>
        </w:rPr>
        <w:t xml:space="preserve">notitia</w:t>
      </w:r>
      <w:r>
        <w:t xml:space="preserve">) and trust (</w:t>
      </w:r>
      <w:r>
        <w:rPr>
          <w:i/>
          <w:iCs/>
        </w:rPr>
        <w:t xml:space="preserve">fiducia</w:t>
      </w:r>
      <w:r>
        <w:t xml:space="preserve">) without assent (</w:t>
      </w:r>
      <w:r>
        <w:rPr>
          <w:i/>
          <w:iCs/>
        </w:rPr>
        <w:t xml:space="preserve">assensus</w:t>
      </w:r>
      <w:r>
        <w:t xml:space="preserve">)</w:t>
      </w:r>
    </w:p>
    <w:p>
      <w:pPr>
        <w:pStyle w:val="Compact"/>
        <w:numPr>
          <w:ilvl w:val="0"/>
          <w:numId w:val="1016"/>
        </w:numPr>
      </w:pPr>
      <w:r>
        <w:t xml:space="preserve">Incorporates articles of faith into practical reasoning.</w:t>
      </w:r>
    </w:p>
    <w:p>
      <w:pPr>
        <w:pStyle w:val="Compact"/>
        <w:numPr>
          <w:ilvl w:val="0"/>
          <w:numId w:val="1016"/>
        </w:numPr>
      </w:pPr>
      <w:r>
        <w:t xml:space="preserve">Example of Pragmatic faith in God: Living As-If</w:t>
      </w:r>
    </w:p>
    <w:p>
      <w:pPr>
        <w:pStyle w:val="Compact"/>
        <w:numPr>
          <w:ilvl w:val="1"/>
          <w:numId w:val="1017"/>
        </w:numPr>
      </w:pPr>
      <w:r>
        <w:t xml:space="preserve">I do not know whether God exists, but I make decisions and live my life as if God does exists.</w:t>
      </w:r>
    </w:p>
    <w:p>
      <w:pPr>
        <w:pStyle w:val="Compact"/>
        <w:numPr>
          <w:ilvl w:val="1"/>
          <w:numId w:val="1017"/>
        </w:numPr>
      </w:pPr>
      <w:r>
        <w:t xml:space="preserve">There is no better way of achieving my purposes in life than by accepting God’s authority.</w:t>
      </w:r>
    </w:p>
    <w:p>
      <w:pPr>
        <w:pStyle w:val="Compact"/>
        <w:numPr>
          <w:ilvl w:val="1"/>
          <w:numId w:val="1017"/>
        </w:numPr>
      </w:pPr>
      <w:r>
        <w:t xml:space="preserve">Furthermore, I am</w:t>
      </w:r>
      <w:r>
        <w:t xml:space="preserve"> </w:t>
      </w:r>
      <w:r>
        <w:rPr>
          <w:i/>
          <w:iCs/>
        </w:rPr>
        <w:t xml:space="preserve">for</w:t>
      </w:r>
      <w:r>
        <w:t xml:space="preserve"> </w:t>
      </w:r>
      <w:r>
        <w:t xml:space="preserve">(favorably disposed to) the existence of God. If God exists, I consider God’s existence and claims on my life a good thing.</w:t>
      </w:r>
    </w:p>
    <w:bookmarkEnd w:id="37"/>
    <w:bookmarkStart w:id="38" w:name="implicit-faith"/>
    <w:p>
      <w:pPr>
        <w:pStyle w:val="Heading2"/>
      </w:pPr>
      <w:r>
        <w:t xml:space="preserve">4.3 Implicit Faith</w:t>
      </w:r>
    </w:p>
    <w:p>
      <w:pPr>
        <w:pStyle w:val="Compact"/>
        <w:numPr>
          <w:ilvl w:val="0"/>
          <w:numId w:val="1018"/>
        </w:numPr>
      </w:pPr>
      <w:r>
        <w:t xml:space="preserve">Trust (</w:t>
      </w:r>
      <w:r>
        <w:rPr>
          <w:i/>
          <w:iCs/>
        </w:rPr>
        <w:t xml:space="preserve">fiducia</w:t>
      </w:r>
      <w:r>
        <w:t xml:space="preserve">) without Understanding (</w:t>
      </w:r>
      <w:r>
        <w:rPr>
          <w:i/>
          <w:iCs/>
        </w:rPr>
        <w:t xml:space="preserve">notitia</w:t>
      </w:r>
      <w:r>
        <w:t xml:space="preserve">) or Assent (</w:t>
      </w:r>
      <w:r>
        <w:rPr>
          <w:i/>
          <w:iCs/>
        </w:rPr>
        <w:t xml:space="preserve">assensus</w:t>
      </w:r>
      <w:r>
        <w:t xml:space="preserve">)</w:t>
      </w:r>
    </w:p>
    <w:p>
      <w:pPr>
        <w:pStyle w:val="Compact"/>
        <w:numPr>
          <w:ilvl w:val="0"/>
          <w:numId w:val="1018"/>
        </w:numPr>
      </w:pPr>
      <w:r>
        <w:t xml:space="preserve">“Anonymous Christian”</w:t>
      </w:r>
      <w:r>
        <w:t xml:space="preserve"> </w:t>
      </w:r>
      <w:r>
        <w:t xml:space="preserve">is term used by Roman Catholic theologian Karl Rahner that refers a person with implicit faith</w:t>
      </w:r>
    </w:p>
    <w:p>
      <w:pPr>
        <w:pStyle w:val="Compact"/>
        <w:numPr>
          <w:ilvl w:val="0"/>
          <w:numId w:val="1018"/>
        </w:numPr>
      </w:pPr>
      <w:r>
        <w:t xml:space="preserve">An unwitting, but positive response to divine communication.</w:t>
      </w:r>
    </w:p>
    <w:p>
      <w:pPr>
        <w:pStyle w:val="BlockText"/>
      </w:pPr>
      <w:r>
        <w:t xml:space="preserve">Through the</w:t>
      </w:r>
      <w:r>
        <w:t xml:space="preserve"> </w:t>
      </w:r>
      <w:r>
        <w:t xml:space="preserve">“exercise of implicit faith one becomes the kind of person who would exercise explicit Christian faith . . . if only one came to see that certain messages (most importantly, the message that reconciliation with God is possible by pleading Christ’s passion) do in fact come from God”</w:t>
      </w:r>
    </w:p>
    <w:p>
      <w:pPr>
        <w:pStyle w:val="FirstParagraph"/>
      </w:pPr>
      <w:r>
        <w:t xml:space="preserve">   – Kevin</w:t>
      </w:r>
      <w:r>
        <w:t xml:space="preserve"> </w:t>
      </w:r>
      <w:r>
        <w:t xml:space="preserve">Kinghorn (2005, 178)</w:t>
      </w:r>
    </w:p>
    <w:bookmarkEnd w:id="38"/>
    <w:bookmarkStart w:id="39" w:name="Xbf39bc93d70a02a9cdf7525d98dd5e268cbe952"/>
    <w:p>
      <w:pPr>
        <w:pStyle w:val="Heading2"/>
      </w:pPr>
      <w:r>
        <w:t xml:space="preserve">4.4 Relationship to Christian Views on the Afterlife</w:t>
      </w:r>
    </w:p>
    <w:p>
      <w:pPr>
        <w:pStyle w:val="DefinitionTerm"/>
      </w:pPr>
      <w:r>
        <w:t xml:space="preserve">Exclusivism</w:t>
      </w:r>
    </w:p>
    <w:p>
      <w:pPr>
        <w:pStyle w:val="Definition"/>
      </w:pPr>
      <w:r>
        <w:t xml:space="preserve">Only those who have explicit (or possibly pragmatic) faith in Jesus during this life will enter heaven.</w:t>
      </w:r>
    </w:p>
    <w:p>
      <w:pPr>
        <w:pStyle w:val="DefinitionTerm"/>
      </w:pPr>
      <w:r>
        <w:t xml:space="preserve">Inclusivism</w:t>
      </w:r>
    </w:p>
    <w:p>
      <w:pPr>
        <w:pStyle w:val="Definition"/>
      </w:pPr>
      <w:r>
        <w:t xml:space="preserve">Those with explicit, pragmatic, or implicit faith will enter heaven.</w:t>
      </w:r>
    </w:p>
    <w:bookmarkEnd w:id="39"/>
    <w:bookmarkStart w:id="50" w:name="references"/>
    <w:p>
      <w:pPr>
        <w:pStyle w:val="Heading2"/>
      </w:pPr>
      <w:r>
        <w:t xml:space="preserve">References</w:t>
      </w:r>
    </w:p>
    <w:bookmarkStart w:id="49" w:name="refs"/>
    <w:bookmarkStart w:id="41" w:name="ref-Eklund.2016"/>
    <w:p>
      <w:pPr>
        <w:pStyle w:val="Bibliography"/>
      </w:pPr>
      <w:r>
        <w:t xml:space="preserve">Eklund, Dan-Johan. 2016.</w:t>
      </w:r>
      <w:r>
        <w:t xml:space="preserve"> </w:t>
      </w:r>
      <w:r>
        <w:t xml:space="preserve">“The Nature of Faith in Analytic Theistic Philosophy of Religion.”</w:t>
      </w:r>
      <w:r>
        <w:t xml:space="preserve"> </w:t>
      </w:r>
      <w:r>
        <w:rPr>
          <w:i/>
          <w:iCs/>
        </w:rPr>
        <w:t xml:space="preserve">International Journal for Philosophy of Religion</w:t>
      </w:r>
      <w:r>
        <w:t xml:space="preserve"> </w:t>
      </w:r>
      <w:r>
        <w:t xml:space="preserve">80 (1): 85–99.</w:t>
      </w:r>
      <w:r>
        <w:t xml:space="preserve"> </w:t>
      </w:r>
      <w:hyperlink r:id="rId40">
        <w:r>
          <w:rPr>
            <w:rStyle w:val="Hyperlink"/>
          </w:rPr>
          <w:t xml:space="preserve">https://doi.org/10.1007/s11153-015-9545-y</w:t>
        </w:r>
      </w:hyperlink>
      <w:r>
        <w:t xml:space="preserve">.</w:t>
      </w:r>
    </w:p>
    <w:bookmarkEnd w:id="41"/>
    <w:bookmarkStart w:id="43" w:name="ref-Howard-Snyder.2016"/>
    <w:p>
      <w:pPr>
        <w:pStyle w:val="Bibliography"/>
      </w:pPr>
      <w:r>
        <w:t xml:space="preserve">Howard-Snyder, Daniel. 2016.</w:t>
      </w:r>
      <w:r>
        <w:t xml:space="preserve"> </w:t>
      </w:r>
      <w:r>
        <w:t xml:space="preserve">“Does Faith Entail Belief?”</w:t>
      </w:r>
      <w:r>
        <w:t xml:space="preserve"> </w:t>
      </w:r>
      <w:r>
        <w:rPr>
          <w:i/>
          <w:iCs/>
        </w:rPr>
        <w:t xml:space="preserve">Faith and Philosophy: Journal of the Society of Christian Philosophers</w:t>
      </w:r>
      <w:r>
        <w:t xml:space="preserve"> </w:t>
      </w:r>
      <w:r>
        <w:t xml:space="preserve">33 (2): 142–62.</w:t>
      </w:r>
      <w:r>
        <w:t xml:space="preserve"> </w:t>
      </w:r>
      <w:hyperlink r:id="rId42">
        <w:r>
          <w:rPr>
            <w:rStyle w:val="Hyperlink"/>
          </w:rPr>
          <w:t xml:space="preserve">https://doi.org/10.5840/faithphil201633059</w:t>
        </w:r>
      </w:hyperlink>
      <w:r>
        <w:t xml:space="preserve">.</w:t>
      </w:r>
    </w:p>
    <w:bookmarkEnd w:id="43"/>
    <w:bookmarkStart w:id="44" w:name="ref-Kinghorn.2005"/>
    <w:p>
      <w:pPr>
        <w:pStyle w:val="Bibliography"/>
      </w:pPr>
      <w:r>
        <w:t xml:space="preserve">Kinghorn, Kevin. 2005.</w:t>
      </w:r>
      <w:r>
        <w:t xml:space="preserve"> </w:t>
      </w:r>
      <w:r>
        <w:rPr>
          <w:i/>
          <w:iCs/>
        </w:rPr>
        <w:t xml:space="preserve">The Decision of Faith: Can Christian Beliefs Be Freely Chosen?</w:t>
      </w:r>
      <w:r>
        <w:t xml:space="preserve"> New York: T&amp;T Clark.</w:t>
      </w:r>
    </w:p>
    <w:bookmarkEnd w:id="44"/>
    <w:bookmarkStart w:id="45" w:name="ref-Moreland.Craig.2017"/>
    <w:p>
      <w:pPr>
        <w:pStyle w:val="Bibliography"/>
      </w:pPr>
      <w:r>
        <w:t xml:space="preserve">Moreland, J. P., and William Lane Craig. 2017.</w:t>
      </w:r>
      <w:r>
        <w:t xml:space="preserve"> </w:t>
      </w:r>
      <w:r>
        <w:rPr>
          <w:i/>
          <w:iCs/>
        </w:rPr>
        <w:t xml:space="preserve">Philosophical Foundations for a Christian Worldview</w:t>
      </w:r>
      <w:r>
        <w:t xml:space="preserve">. 2nd Edition. Downers Grove, Illinois: IVP Academic.</w:t>
      </w:r>
    </w:p>
    <w:bookmarkEnd w:id="45"/>
    <w:bookmarkStart w:id="46" w:name="ref-Oden.1992"/>
    <w:p>
      <w:pPr>
        <w:pStyle w:val="Bibliography"/>
      </w:pPr>
      <w:r>
        <w:t xml:space="preserve">Oden, Thomas C. 1992.</w:t>
      </w:r>
      <w:r>
        <w:t xml:space="preserve"> </w:t>
      </w:r>
      <w:r>
        <w:rPr>
          <w:i/>
          <w:iCs/>
        </w:rPr>
        <w:t xml:space="preserve">Classic Christianity: A Systematic Theology</w:t>
      </w:r>
      <w:r>
        <w:t xml:space="preserve">. New York: HarperOne.</w:t>
      </w:r>
    </w:p>
    <w:bookmarkEnd w:id="46"/>
    <w:bookmarkStart w:id="47" w:name="ref-Peterson.etal.2012"/>
    <w:p>
      <w:pPr>
        <w:pStyle w:val="Bibliography"/>
      </w:pPr>
      <w:r>
        <w:t xml:space="preserve">Peterson, Michael L., William Hasker, Bruce Reichenbach, and David Basinger. 2012.</w:t>
      </w:r>
      <w:r>
        <w:t xml:space="preserve"> </w:t>
      </w:r>
      <w:r>
        <w:rPr>
          <w:i/>
          <w:iCs/>
        </w:rPr>
        <w:t xml:space="preserve">Reason &amp; Religious Belief: An Introduction to the Philosophy of Religion</w:t>
      </w:r>
      <w:r>
        <w:t xml:space="preserve">. 5th ed. New York: Oxford University Press.</w:t>
      </w:r>
    </w:p>
    <w:bookmarkEnd w:id="47"/>
    <w:bookmarkStart w:id="48" w:name="ref-Swinburne.2005"/>
    <w:p>
      <w:pPr>
        <w:pStyle w:val="Bibliography"/>
      </w:pPr>
      <w:r>
        <w:t xml:space="preserve">Swinburne, Richard. 2005.</w:t>
      </w:r>
      <w:r>
        <w:t xml:space="preserve"> </w:t>
      </w:r>
      <w:r>
        <w:rPr>
          <w:i/>
          <w:iCs/>
        </w:rPr>
        <w:t xml:space="preserve">Faith and Reason</w:t>
      </w:r>
      <w:r>
        <w:t xml:space="preserve">. 2nd ed. Oxford : New York: Clarendon Press.</w:t>
      </w:r>
    </w:p>
    <w:bookmarkEnd w:id="48"/>
    <w:bookmarkEnd w:id="49"/>
    <w:bookmarkEnd w:id="50"/>
    <w:bookmarkEnd w:id="5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0" Target="https://doi.org/10.1007/s11153-015-9545-y" TargetMode="External" /><Relationship Type="http://schemas.openxmlformats.org/officeDocument/2006/relationships/hyperlink" Id="rId42" Target="https://doi.org/10.5840/faithphil201633059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0" Target="https://doi.org/10.1007/s11153-015-9545-y" TargetMode="External" /><Relationship Type="http://schemas.openxmlformats.org/officeDocument/2006/relationships/hyperlink" Id="rId42" Target="https://doi.org/10.5840/faithphil20163305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Nature of Faith</dc:title>
  <dc:creator>Christopher L. Holland</dc:creator>
  <cp:keywords/>
  <dcterms:created xsi:type="dcterms:W3CDTF">2025-04-29T23:49:25Z</dcterms:created>
  <dcterms:modified xsi:type="dcterms:W3CDTF">2025-04-29T23:49:25Z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opyright">
    <vt:lpwstr/>
  </property>
  <property fmtid="{D5CDD505-2E9C-101B-9397-08002B2CF9AE}" pid="9" name="date">
    <vt:lpwstr>March 4, 2025</vt:lpwstr>
  </property>
  <property fmtid="{D5CDD505-2E9C-101B-9397-08002B2CF9AE}" pid="10" name="date-format">
    <vt:lpwstr>long</vt:lpwstr>
  </property>
  <property fmtid="{D5CDD505-2E9C-101B-9397-08002B2CF9AE}" pid="11" name="date-modified">
    <vt:lpwstr>March 19, 2025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odified-title">
    <vt:lpwstr>Updated</vt:lpwstr>
  </property>
  <property fmtid="{D5CDD505-2E9C-101B-9397-08002B2CF9AE}" pid="17" name="nocite">
    <vt:lpwstr>@Moreland.Craig.2017 @Peterson.etal.2012 @Swinburne.2005 @Kinghorn.2005 @Eklund.2016 @Howard-Snyder.2016 @Oden.1992</vt:lpwstr>
  </property>
  <property fmtid="{D5CDD505-2E9C-101B-9397-08002B2CF9AE}" pid="18" name="number-depth">
    <vt:lpwstr>3</vt:lpwstr>
  </property>
  <property fmtid="{D5CDD505-2E9C-101B-9397-08002B2CF9AE}" pid="19" name="published-title">
    <vt:lpwstr>Lecture Date</vt:lpwstr>
  </property>
  <property fmtid="{D5CDD505-2E9C-101B-9397-08002B2CF9AE}" pid="20" name="tbl-cap-location">
    <vt:lpwstr>top</vt:lpwstr>
  </property>
  <property fmtid="{D5CDD505-2E9C-101B-9397-08002B2CF9AE}" pid="21" name="toc-title">
    <vt:lpwstr>Table of contents</vt:lpwstr>
  </property>
</Properties>
</file>