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Mind-Body Problem: Part 1</w:t>
      </w:r>
    </w:p>
    <w:p>
      <w:pPr>
        <w:pStyle w:val="Author"/>
      </w:pPr>
      <w:r>
        <w:t xml:space="preserve">Christopher L. Holland</w:t>
      </w:r>
    </w:p>
    <w:p>
      <w:pPr>
        <w:pStyle w:val="Date"/>
      </w:pPr>
      <w:r>
        <w:t xml:space="preserve">March 18, 2025</w:t>
      </w:r>
    </w:p>
    <w:bookmarkStart w:id="22" w:name="major-positions-on-the-mind-body-problem"/>
    <w:p>
      <w:pPr>
        <w:pStyle w:val="Heading1"/>
      </w:pPr>
      <w:r>
        <w:t xml:space="preserve">1. Major Positions on the Mind-Body Problem</w:t>
      </w:r>
    </w:p>
    <w:bookmarkStart w:id="20" w:name="dualism"/>
    <w:p>
      <w:pPr>
        <w:pStyle w:val="Heading2"/>
      </w:pPr>
      <w:r>
        <w:t xml:space="preserve">1.1 Dualism</w:t>
      </w:r>
    </w:p>
    <w:p>
      <w:pPr>
        <w:pStyle w:val="FirstParagraph"/>
      </w:pPr>
      <w:r>
        <w:t xml:space="preserve">Human beings (and other conscious animals) are composed of both a mind and a body.</w:t>
      </w:r>
    </w:p>
    <w:p>
      <w:pPr>
        <w:pStyle w:val="DefinitionTerm"/>
      </w:pPr>
      <w:r>
        <w:t xml:space="preserve">Substance Dualism</w:t>
      </w:r>
    </w:p>
    <w:p>
      <w:pPr>
        <w:pStyle w:val="Definition"/>
      </w:pPr>
      <w:r>
        <w:t xml:space="preserve">Human beings are made up of mind and body—two separate substances.</w:t>
      </w:r>
    </w:p>
    <w:p>
      <w:pPr>
        <w:pStyle w:val="DefinitionTerm"/>
      </w:pPr>
      <w:r>
        <w:t xml:space="preserve">Property Dualism</w:t>
      </w:r>
    </w:p>
    <w:p>
      <w:pPr>
        <w:pStyle w:val="Definition"/>
      </w:pPr>
      <w:r>
        <w:t xml:space="preserve">Human beings are made up of a single substance: body. However, the body has both mental and physical properties.</w:t>
      </w:r>
    </w:p>
    <w:bookmarkEnd w:id="20"/>
    <w:bookmarkStart w:id="21" w:name="physicalism-materialism"/>
    <w:p>
      <w:pPr>
        <w:pStyle w:val="Heading2"/>
      </w:pPr>
      <w:r>
        <w:t xml:space="preserve">1.2 Physicalism (Materialism)</w:t>
      </w:r>
    </w:p>
    <w:p>
      <w:pPr>
        <w:pStyle w:val="FirstParagraph"/>
      </w:pPr>
      <w:r>
        <w:t xml:space="preserve">Human beings (and other conscious animals) are entirely physical.</w:t>
      </w:r>
    </w:p>
    <w:p>
      <w:pPr>
        <w:pStyle w:val="DefinitionTerm"/>
      </w:pPr>
      <w:r>
        <w:t xml:space="preserve">Identity Theory (The Hardware View)</w:t>
      </w:r>
    </w:p>
    <w:p>
      <w:pPr>
        <w:pStyle w:val="Definition"/>
      </w:pPr>
      <w:r>
        <w:t xml:space="preserve">Mental states are identical to brain states.</w:t>
      </w:r>
    </w:p>
    <w:p>
      <w:pPr>
        <w:pStyle w:val="DefinitionTerm"/>
      </w:pPr>
      <w:r>
        <w:t xml:space="preserve">Functionalism (The Software View)</w:t>
      </w:r>
    </w:p>
    <w:p>
      <w:pPr>
        <w:pStyle w:val="Definition"/>
      </w:pPr>
      <w:r>
        <w:t xml:space="preserve">Mental events can be exhaustively described in terms of sensory inputs, behavioral outputs, and internal states.</w:t>
      </w:r>
    </w:p>
    <w:p>
      <w:pPr>
        <w:pStyle w:val="DefinitionTerm"/>
      </w:pPr>
      <w:r>
        <w:t xml:space="preserve">Eliminative Materialism</w:t>
      </w:r>
    </w:p>
    <w:p>
      <w:pPr>
        <w:pStyle w:val="Definition"/>
      </w:pPr>
      <w:r>
        <w:t xml:space="preserve">A fuller understanding of neuroscience will eventually eliminate discussion of mental states altogether.</w:t>
      </w:r>
    </w:p>
    <w:bookmarkEnd w:id="21"/>
    <w:bookmarkEnd w:id="22"/>
    <w:bookmarkStart w:id="32" w:name="key-concepts"/>
    <w:p>
      <w:pPr>
        <w:pStyle w:val="Heading1"/>
      </w:pPr>
      <w:r>
        <w:t xml:space="preserve">2. Key Concepts</w:t>
      </w:r>
    </w:p>
    <w:bookmarkStart w:id="23" w:name="leibnizs-law"/>
    <w:p>
      <w:pPr>
        <w:pStyle w:val="Heading2"/>
      </w:pPr>
      <w:r>
        <w:t xml:space="preserve">2.1 Leibniz’s Law</w:t>
      </w:r>
    </w:p>
    <w:p>
      <w:pPr>
        <w:pStyle w:val="Compact"/>
        <w:numPr>
          <w:ilvl w:val="0"/>
          <w:numId w:val="1001"/>
        </w:numPr>
      </w:pPr>
      <w:r>
        <w:t xml:space="preserve">Also called the indiscernibility of identicals</w:t>
      </w:r>
    </w:p>
    <w:p>
      <w:pPr>
        <w:pStyle w:val="Compact"/>
        <w:numPr>
          <w:ilvl w:val="0"/>
          <w:numId w:val="1001"/>
        </w:numPr>
      </w:pPr>
      <w:r>
        <w:t xml:space="preserve">According to Leibniz’s Law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are numerically identical if, and only if, any property held by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held by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(and vice versa).</w:t>
      </w:r>
    </w:p>
    <w:bookmarkEnd w:id="23"/>
    <w:bookmarkStart w:id="24" w:name="sense-and-reference"/>
    <w:p>
      <w:pPr>
        <w:pStyle w:val="Heading2"/>
      </w:pPr>
      <w:r>
        <w:t xml:space="preserve">2.2 Sense and Reference</w:t>
      </w:r>
    </w:p>
    <w:p>
      <w:pPr>
        <w:pStyle w:val="Compact"/>
        <w:numPr>
          <w:ilvl w:val="0"/>
          <w:numId w:val="1002"/>
        </w:numPr>
      </w:pPr>
      <w:r>
        <w:t xml:space="preserve">An important distinction in the philosophy of language introduced by Gottlob Frege.</w:t>
      </w:r>
    </w:p>
    <w:p>
      <w:pPr>
        <w:pStyle w:val="Compact"/>
        <w:numPr>
          <w:ilvl w:val="0"/>
          <w:numId w:val="1002"/>
        </w:numPr>
      </w:pPr>
      <w:r>
        <w:t xml:space="preserve">Frege pointed out that we know that a=a</w:t>
      </w:r>
      <w:r>
        <w:t xml:space="preserve"> </w:t>
      </w:r>
      <w:r>
        <w:rPr>
          <w:i/>
          <w:iCs/>
        </w:rPr>
        <w:t xml:space="preserve">a priori</w:t>
      </w:r>
      <w:r>
        <w:t xml:space="preserve">, but we know that a=b</w:t>
      </w:r>
      <w:r>
        <w:t xml:space="preserve"> </w:t>
      </w:r>
      <w:r>
        <w:rPr>
          <w:i/>
          <w:iCs/>
        </w:rPr>
        <w:t xml:space="preserve">a posteriori</w:t>
      </w:r>
      <w:r>
        <w:t xml:space="preserve">.</w:t>
      </w:r>
    </w:p>
    <w:bookmarkEnd w:id="24"/>
    <w:bookmarkStart w:id="25" w:name="sense-and-reference-cont"/>
    <w:p>
      <w:pPr>
        <w:pStyle w:val="Heading2"/>
      </w:pPr>
      <w:r>
        <w:t xml:space="preserve">2.3 Sense and Reference (cont)</w:t>
      </w:r>
    </w:p>
    <w:p>
      <w:pPr>
        <w:pStyle w:val="Compact"/>
        <w:numPr>
          <w:ilvl w:val="0"/>
          <w:numId w:val="1003"/>
        </w:numPr>
      </w:pPr>
      <w:r>
        <w:t xml:space="preserve">Frege used the following example:</w:t>
      </w:r>
    </w:p>
    <w:p>
      <w:pPr>
        <w:pStyle w:val="Compact"/>
        <w:numPr>
          <w:ilvl w:val="1"/>
          <w:numId w:val="1004"/>
        </w:numPr>
      </w:pPr>
      <w:r>
        <w:t xml:space="preserve">The</w:t>
      </w:r>
      <w:r>
        <w:t xml:space="preserve"> </w:t>
      </w:r>
      <w:r>
        <w:t xml:space="preserve">“Evening Star”</w:t>
      </w:r>
      <w:r>
        <w:t xml:space="preserve"> </w:t>
      </w:r>
      <w:r>
        <w:t xml:space="preserve">is the first star to appear in the evening and the</w:t>
      </w:r>
      <w:r>
        <w:t xml:space="preserve"> </w:t>
      </w:r>
      <w:r>
        <w:t xml:space="preserve">“Morning Star”</w:t>
      </w:r>
      <w:r>
        <w:t xml:space="preserve"> </w:t>
      </w:r>
      <w:r>
        <w:t xml:space="preserve">is the last star to disappear in the morning.</w:t>
      </w:r>
    </w:p>
    <w:p>
      <w:pPr>
        <w:pStyle w:val="Compact"/>
        <w:numPr>
          <w:ilvl w:val="1"/>
          <w:numId w:val="1004"/>
        </w:numPr>
      </w:pPr>
      <w:r>
        <w:t xml:space="preserve">Now consider these two statements:</w:t>
      </w:r>
    </w:p>
    <w:p>
      <w:pPr>
        <w:pStyle w:val="Compact"/>
        <w:numPr>
          <w:ilvl w:val="2"/>
          <w:numId w:val="1005"/>
        </w:numPr>
      </w:pPr>
      <w:r>
        <w:t xml:space="preserve">The Evening Star is the Evening Star</w:t>
      </w:r>
    </w:p>
    <w:p>
      <w:pPr>
        <w:pStyle w:val="Compact"/>
        <w:numPr>
          <w:ilvl w:val="2"/>
          <w:numId w:val="1005"/>
        </w:numPr>
      </w:pPr>
      <w:r>
        <w:t xml:space="preserve">The Evening Star is the Morning Star</w:t>
      </w:r>
    </w:p>
    <w:p>
      <w:pPr>
        <w:pStyle w:val="Compact"/>
        <w:numPr>
          <w:ilvl w:val="1"/>
          <w:numId w:val="1004"/>
        </w:numPr>
      </w:pPr>
      <w:r>
        <w:t xml:space="preserve">The statement (1) is true and known</w:t>
      </w:r>
      <w:r>
        <w:t xml:space="preserve"> </w:t>
      </w:r>
      <w:r>
        <w:rPr>
          <w:i/>
          <w:iCs/>
        </w:rPr>
        <w:t xml:space="preserve">a priori</w:t>
      </w:r>
      <w:r>
        <w:t xml:space="preserve">. The statement (2) is also true but known</w:t>
      </w:r>
      <w:r>
        <w:t xml:space="preserve"> </w:t>
      </w:r>
      <w:r>
        <w:rPr>
          <w:i/>
          <w:iCs/>
        </w:rPr>
        <w:t xml:space="preserve">a posteriori</w:t>
      </w:r>
      <w:r>
        <w:t xml:space="preserve">—based on the discovery that both refer to the planet Venus.</w:t>
      </w:r>
    </w:p>
    <w:p>
      <w:pPr>
        <w:pStyle w:val="Compact"/>
        <w:numPr>
          <w:ilvl w:val="1"/>
          <w:numId w:val="1004"/>
        </w:numPr>
      </w:pPr>
      <w:r>
        <w:t xml:space="preserve">So the terms</w:t>
      </w:r>
      <w:r>
        <w:t xml:space="preserve"> </w:t>
      </w:r>
      <w:r>
        <w:t xml:space="preserve">“Morning Star”</w:t>
      </w:r>
      <w:r>
        <w:t xml:space="preserve"> </w:t>
      </w:r>
      <w:r>
        <w:t xml:space="preserve">and</w:t>
      </w:r>
      <w:r>
        <w:t xml:space="preserve"> </w:t>
      </w:r>
      <w:r>
        <w:t xml:space="preserve">“Evening Star”</w:t>
      </w:r>
      <w:r>
        <w:t xml:space="preserve"> </w:t>
      </w:r>
      <w:r>
        <w:t xml:space="preserve">have different senses (or meanings) but the same referent—i.e. the planet Venus.</w:t>
      </w:r>
    </w:p>
    <w:bookmarkEnd w:id="25"/>
    <w:bookmarkStart w:id="26" w:name="sense-and-reference-cont-1"/>
    <w:p>
      <w:pPr>
        <w:pStyle w:val="Heading2"/>
      </w:pPr>
      <w:r>
        <w:t xml:space="preserve">2.4 Sense and Reference (cont)</w:t>
      </w:r>
    </w:p>
    <w:p>
      <w:pPr>
        <w:pStyle w:val="Compact"/>
        <w:numPr>
          <w:ilvl w:val="0"/>
          <w:numId w:val="1006"/>
        </w:numPr>
      </w:pPr>
      <w:r>
        <w:t xml:space="preserve">Statements with propositional attitudes pose a difficulty for Frege’s distinction.</w:t>
      </w:r>
    </w:p>
    <w:p>
      <w:pPr>
        <w:pStyle w:val="Compact"/>
        <w:numPr>
          <w:ilvl w:val="1"/>
          <w:numId w:val="1007"/>
        </w:numPr>
      </w:pPr>
      <w:r>
        <w:t xml:space="preserve">Consider the following statements:</w:t>
      </w:r>
    </w:p>
    <w:p>
      <w:pPr>
        <w:pStyle w:val="Compact"/>
        <w:numPr>
          <w:ilvl w:val="2"/>
          <w:numId w:val="1008"/>
        </w:numPr>
      </w:pPr>
      <w:r>
        <w:t xml:space="preserve">Lois Lane believes that Superman is Superman.</w:t>
      </w:r>
    </w:p>
    <w:p>
      <w:pPr>
        <w:pStyle w:val="Compact"/>
        <w:numPr>
          <w:ilvl w:val="2"/>
          <w:numId w:val="1008"/>
        </w:numPr>
      </w:pPr>
      <w:r>
        <w:t xml:space="preserve">Lois Lane believes that Superman is Clark Kent.</w:t>
      </w:r>
    </w:p>
    <w:p>
      <w:pPr>
        <w:pStyle w:val="Compact"/>
        <w:numPr>
          <w:ilvl w:val="1"/>
          <w:numId w:val="1007"/>
        </w:numPr>
      </w:pPr>
      <w:r>
        <w:t xml:space="preserve">Statement (1) is true; statement (2) is false—but Superman and Clark Kent are coreferential (they refer to the same thing).</w:t>
      </w:r>
    </w:p>
    <w:p>
      <w:pPr>
        <w:pStyle w:val="Compact"/>
        <w:numPr>
          <w:ilvl w:val="1"/>
          <w:numId w:val="1007"/>
        </w:numPr>
      </w:pPr>
      <w:r>
        <w:t xml:space="preserve">Frege’s solution is to say that because we are dealing with a propositional attitude (belief) the terms Superman and Clark Kent must refer to their meanings/senses instead of their normal referent (the person who is both Superman and Clark Kent).</w:t>
      </w:r>
    </w:p>
    <w:bookmarkEnd w:id="26"/>
    <w:bookmarkStart w:id="27" w:name="occams-razor-the-principle-of-parsimony"/>
    <w:p>
      <w:pPr>
        <w:pStyle w:val="Heading2"/>
      </w:pPr>
      <w:r>
        <w:t xml:space="preserve">2.5 Occam’s razor (the principle of parsimony)</w:t>
      </w:r>
    </w:p>
    <w:p>
      <w:pPr>
        <w:pStyle w:val="FirstParagraph"/>
      </w:pPr>
      <w:r>
        <w:t xml:space="preserve">Named after William of Occam (1290–1349). According to Occam’s razor when two or more hypotheses/theories have equal explanatory power, we should choose the one which postulates the fewest entities.</w:t>
      </w:r>
    </w:p>
    <w:bookmarkEnd w:id="27"/>
    <w:bookmarkStart w:id="28" w:name="qualia-singular-quale"/>
    <w:p>
      <w:pPr>
        <w:pStyle w:val="Heading2"/>
      </w:pPr>
      <w:r>
        <w:t xml:space="preserve">2.6 Qualia (singular Quale)</w:t>
      </w:r>
    </w:p>
    <w:p>
      <w:pPr>
        <w:pStyle w:val="Compact"/>
        <w:numPr>
          <w:ilvl w:val="0"/>
          <w:numId w:val="1009"/>
        </w:numPr>
      </w:pPr>
      <w:r>
        <w:t xml:space="preserve">An instance of private, subjective, first-person experience.</w:t>
      </w:r>
    </w:p>
    <w:p>
      <w:pPr>
        <w:pStyle w:val="Compact"/>
        <w:numPr>
          <w:ilvl w:val="0"/>
          <w:numId w:val="1009"/>
        </w:numPr>
      </w:pPr>
      <w:r>
        <w:t xml:space="preserve">Subjective phenomena essentially connected with a single point of view.</w:t>
      </w:r>
    </w:p>
    <w:bookmarkEnd w:id="28"/>
    <w:bookmarkStart w:id="29" w:name="intentionality"/>
    <w:p>
      <w:pPr>
        <w:pStyle w:val="Heading2"/>
      </w:pPr>
      <w:r>
        <w:t xml:space="preserve">2.7 Intentionality</w:t>
      </w:r>
    </w:p>
    <w:p>
      <w:pPr>
        <w:pStyle w:val="Compact"/>
        <w:numPr>
          <w:ilvl w:val="0"/>
          <w:numId w:val="1010"/>
        </w:numPr>
      </w:pPr>
      <w:r>
        <w:t xml:space="preserve">Also called aboutness or ofness. Intentionality is the property of being of or about something else.</w:t>
      </w:r>
    </w:p>
    <w:p>
      <w:pPr>
        <w:pStyle w:val="Compact"/>
        <w:numPr>
          <w:ilvl w:val="0"/>
          <w:numId w:val="1010"/>
        </w:numPr>
      </w:pPr>
      <w:r>
        <w:t xml:space="preserve">For example, beliefs, desires, and intentions are directed at or about objects or states of affairs other than themselves.</w:t>
      </w:r>
    </w:p>
    <w:p>
      <w:pPr>
        <w:pStyle w:val="Compact"/>
        <w:numPr>
          <w:ilvl w:val="0"/>
          <w:numId w:val="1010"/>
        </w:numPr>
      </w:pPr>
      <w:r>
        <w:t xml:space="preserve">Thus beliefs, desires, and intentions are intentional whereas rocks and trees are not.</w:t>
      </w:r>
    </w:p>
    <w:p>
      <w:pPr>
        <w:pStyle w:val="Compact"/>
        <w:numPr>
          <w:ilvl w:val="0"/>
          <w:numId w:val="1010"/>
        </w:numPr>
      </w:pPr>
      <w:r>
        <w:t xml:space="preserve">Most, but perhaps not all, mental states have intentionality. For example, undirected forms of anxiety or depression may be mental states but not intentional states.</w:t>
      </w:r>
    </w:p>
    <w:bookmarkEnd w:id="29"/>
    <w:bookmarkStart w:id="30" w:name="substance"/>
    <w:p>
      <w:pPr>
        <w:pStyle w:val="Heading2"/>
      </w:pPr>
      <w:r>
        <w:t xml:space="preserve">2.8 Substance</w:t>
      </w:r>
    </w:p>
    <w:p>
      <w:pPr>
        <w:pStyle w:val="Compact"/>
        <w:numPr>
          <w:ilvl w:val="0"/>
          <w:numId w:val="1011"/>
        </w:numPr>
      </w:pPr>
      <w:r>
        <w:t xml:space="preserve">In everyday language we use the word substance in the same way we use the word stuff—referring to the physical material that something is made of.</w:t>
      </w:r>
    </w:p>
    <w:p>
      <w:pPr>
        <w:pStyle w:val="Compact"/>
        <w:numPr>
          <w:ilvl w:val="0"/>
          <w:numId w:val="1011"/>
        </w:numPr>
      </w:pPr>
      <w:r>
        <w:t xml:space="preserve">In philosophy a substance is an individual thing that has properties and can undergo change.</w:t>
      </w:r>
    </w:p>
    <w:bookmarkEnd w:id="30"/>
    <w:bookmarkStart w:id="31" w:name="X95e617096fad4b674c2d45fffbb47f617500c8e"/>
    <w:p>
      <w:pPr>
        <w:pStyle w:val="Heading2"/>
      </w:pPr>
      <w:r>
        <w:t xml:space="preserve">2.9 Terms to help with the reading for next class</w:t>
      </w:r>
    </w:p>
    <w:p>
      <w:pPr>
        <w:pStyle w:val="DefinitionTerm"/>
      </w:pPr>
      <w:r>
        <w:t xml:space="preserve">Functional Organization</w:t>
      </w:r>
    </w:p>
    <w:p>
      <w:pPr>
        <w:pStyle w:val="Definition"/>
      </w:pPr>
      <w:r>
        <w:t xml:space="preserve">The pattern of causal organization embodied in the mechanism responsible for somethings behavior</w:t>
      </w:r>
    </w:p>
    <w:p>
      <w:pPr>
        <w:pStyle w:val="DefinitionTerm"/>
      </w:pPr>
      <w:r>
        <w:t xml:space="preserve">Isomorphic</w:t>
      </w:r>
    </w:p>
    <w:p>
      <w:pPr>
        <w:pStyle w:val="Definition"/>
      </w:pPr>
      <m:oMath>
        <m:r>
          <m:t>A</m:t>
        </m:r>
      </m:oMath>
      <w:r>
        <w:t xml:space="preserve"> </w:t>
      </w:r>
      <w:r>
        <w:t xml:space="preserve">is isomorphic to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iff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have the same form/structure.</w:t>
      </w:r>
    </w:p>
    <w:bookmarkEnd w:id="31"/>
    <w:bookmarkEnd w:id="32"/>
    <w:bookmarkStart w:id="38" w:name="sources"/>
    <w:p>
      <w:pPr>
        <w:pStyle w:val="Heading1"/>
      </w:pPr>
      <w:r>
        <w:t xml:space="preserve">3. Sources</w:t>
      </w:r>
    </w:p>
    <w:bookmarkStart w:id="37" w:name="refs"/>
    <w:bookmarkStart w:id="33" w:name="ref-Chalmers.1996.CM"/>
    <w:p>
      <w:pPr>
        <w:pStyle w:val="Bibliography"/>
      </w:pPr>
      <w:r>
        <w:t xml:space="preserve">Chalmers, David J. 1996.</w:t>
      </w:r>
      <w:r>
        <w:t xml:space="preserve"> </w:t>
      </w:r>
      <w:r>
        <w:rPr>
          <w:i/>
          <w:iCs/>
        </w:rPr>
        <w:t xml:space="preserve">The Conscious Mind: In Search of a Fundamental Theory</w:t>
      </w:r>
      <w:r>
        <w:t xml:space="preserve">. Kindle. Philosophy of Mind Series. New York: Oxford University Press.</w:t>
      </w:r>
    </w:p>
    <w:bookmarkEnd w:id="33"/>
    <w:bookmarkStart w:id="34" w:name="ref-Moreland.Craig.2017"/>
    <w:p>
      <w:pPr>
        <w:pStyle w:val="Bibliography"/>
      </w:pPr>
      <w:r>
        <w:t xml:space="preserve">Moreland, J. P., and William Lane Craig. 2017.</w:t>
      </w:r>
      <w:r>
        <w:t xml:space="preserve"> </w:t>
      </w:r>
      <w:r>
        <w:rPr>
          <w:i/>
          <w:iCs/>
        </w:rPr>
        <w:t xml:space="preserve">Philosophical Foundations for a Christian Worldview</w:t>
      </w:r>
      <w:r>
        <w:t xml:space="preserve">. 2nd Edition. Downers Grove, Illinois: IVP Academic.</w:t>
      </w:r>
    </w:p>
    <w:bookmarkEnd w:id="34"/>
    <w:bookmarkStart w:id="35" w:name="ref-Pojman.2006"/>
    <w:p>
      <w:pPr>
        <w:pStyle w:val="Bibliography"/>
      </w:pPr>
      <w:r>
        <w:t xml:space="preserve">Pojman, Louis P. 2006.</w:t>
      </w:r>
      <w:r>
        <w:t xml:space="preserve"> </w:t>
      </w:r>
      <w:r>
        <w:rPr>
          <w:i/>
          <w:iCs/>
        </w:rPr>
        <w:t xml:space="preserve">Philosophy: The Pursuit of Wisdom</w:t>
      </w:r>
      <w:r>
        <w:t xml:space="preserve">. 5th ed. Belmont, CA: Wadsworth.</w:t>
      </w:r>
    </w:p>
    <w:bookmarkEnd w:id="35"/>
    <w:bookmarkStart w:id="36" w:name="ref-Pojman.Vaughn.2017"/>
    <w:p>
      <w:pPr>
        <w:pStyle w:val="Bibliography"/>
      </w:pPr>
      <w:r>
        <w:t xml:space="preserve">Pojman, Louis P., and Lewis Vaughn, eds. 2017.</w:t>
      </w:r>
      <w:r>
        <w:t xml:space="preserve"> </w:t>
      </w:r>
      <w:r>
        <w:rPr>
          <w:i/>
          <w:iCs/>
        </w:rPr>
        <w:t xml:space="preserve">Philosophy: The Quest for Truth</w:t>
      </w:r>
      <w:r>
        <w:t xml:space="preserve">. 10th ed. New York: Oxford University Press.</w:t>
      </w:r>
    </w:p>
    <w:bookmarkEnd w:id="36"/>
    <w:bookmarkEnd w:id="37"/>
    <w:bookmarkEnd w:id="38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1"/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1"/>
  </w:num>
  <w:num w:numId="1010">
    <w:abstractNumId w:val="991"/>
  </w:num>
  <w:num w:numId="101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Mind-Body Problem: Part 1</dc:title>
  <dc:creator>Christopher L. Holland</dc:creator>
  <cp:keywords/>
  <dcterms:created xsi:type="dcterms:W3CDTF">2025-04-29T23:49:35Z</dcterms:created>
  <dcterms:modified xsi:type="dcterms:W3CDTF">2025-04-29T23:49:35Z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filiation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ffiliation">
    <vt:lpwstr/>
  </property>
  <property fmtid="{D5CDD505-2E9C-101B-9397-08002B2CF9AE}" pid="7" name="by-author">
    <vt:lpwstr/>
  </property>
  <property fmtid="{D5CDD505-2E9C-101B-9397-08002B2CF9AE}" pid="8" name="copyright">
    <vt:lpwstr/>
  </property>
  <property fmtid="{D5CDD505-2E9C-101B-9397-08002B2CF9AE}" pid="9" name="date">
    <vt:lpwstr>March 18, 2025</vt:lpwstr>
  </property>
  <property fmtid="{D5CDD505-2E9C-101B-9397-08002B2CF9AE}" pid="10" name="date-format">
    <vt:lpwstr>long</vt:lpwstr>
  </property>
  <property fmtid="{D5CDD505-2E9C-101B-9397-08002B2CF9AE}" pid="11" name="date-modified">
    <vt:lpwstr>March 20, 2025</vt:lpwstr>
  </property>
  <property fmtid="{D5CDD505-2E9C-101B-9397-08002B2CF9AE}" pid="12" name="header-includes">
    <vt:lpwstr/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modified-title">
    <vt:lpwstr>Updated</vt:lpwstr>
  </property>
  <property fmtid="{D5CDD505-2E9C-101B-9397-08002B2CF9AE}" pid="17" name="nocite">
    <vt:lpwstr>@Moreland.Craig.2017 @Pojman.2006 @Pojman.Vaughn.2017 @Chalmers.1996.CM</vt:lpwstr>
  </property>
  <property fmtid="{D5CDD505-2E9C-101B-9397-08002B2CF9AE}" pid="18" name="number-depth">
    <vt:lpwstr>3</vt:lpwstr>
  </property>
  <property fmtid="{D5CDD505-2E9C-101B-9397-08002B2CF9AE}" pid="19" name="published-title">
    <vt:lpwstr>Lecture Date</vt:lpwstr>
  </property>
  <property fmtid="{D5CDD505-2E9C-101B-9397-08002B2CF9AE}" pid="20" name="tbl-cap-location">
    <vt:lpwstr>top</vt:lpwstr>
  </property>
  <property fmtid="{D5CDD505-2E9C-101B-9397-08002B2CF9AE}" pid="21" name="toc-title">
    <vt:lpwstr>Table of contents</vt:lpwstr>
  </property>
</Properties>
</file>